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1635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029"/>
        <w:gridCol w:w="2835"/>
      </w:tblGrid>
      <w:tr w:rsidR="00DA1DB0" w:rsidRPr="005E6DD5" w:rsidTr="00DA1DB0">
        <w:trPr>
          <w:trHeight w:val="960"/>
        </w:trPr>
        <w:tc>
          <w:tcPr>
            <w:tcW w:w="141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A1DB0" w:rsidRDefault="00DA1DB0" w:rsidP="001838C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</w:rPr>
            </w:pPr>
            <w:bookmarkStart w:id="0" w:name="_GoBack"/>
            <w:bookmarkEnd w:id="0"/>
            <w:r w:rsidRPr="002D03F8">
              <w:rPr>
                <w:rFonts w:ascii="GHEA Grapalat" w:eastAsia="Calibri" w:hAnsi="GHEA Grapalat" w:cs="Times New Roman"/>
                <w:b/>
              </w:rPr>
              <w:t>(Համապատասխանության գնահատման մարմնի</w:t>
            </w:r>
            <w:r>
              <w:rPr>
                <w:rFonts w:ascii="GHEA Grapalat" w:eastAsia="Calibri" w:hAnsi="GHEA Grapalat" w:cs="Times New Roman"/>
                <w:b/>
                <w:lang w:val="ru-RU"/>
              </w:rPr>
              <w:t xml:space="preserve"> (ՀԳՄ)</w:t>
            </w:r>
            <w:r w:rsidRPr="002D03F8">
              <w:rPr>
                <w:rFonts w:ascii="GHEA Grapalat" w:eastAsia="Calibri" w:hAnsi="GHEA Grapalat" w:cs="Times New Roman"/>
                <w:b/>
              </w:rPr>
              <w:t xml:space="preserve"> անվանումը)</w:t>
            </w:r>
          </w:p>
          <w:p w:rsidR="00DA1DB0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  <w:p w:rsidR="00DA1DB0" w:rsidRDefault="00DA1DB0" w:rsidP="001838C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E96C0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ՀԱՐՑԱԹԵՐԹ</w:t>
            </w:r>
          </w:p>
          <w:p w:rsidR="00DA1DB0" w:rsidRPr="002D03F8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DA1DB0" w:rsidRPr="005E6DD5" w:rsidTr="00A75D26">
        <w:trPr>
          <w:trHeight w:val="1233"/>
        </w:trPr>
        <w:tc>
          <w:tcPr>
            <w:tcW w:w="1278" w:type="dxa"/>
            <w:tcBorders>
              <w:top w:val="single" w:sz="12" w:space="0" w:color="auto"/>
            </w:tcBorders>
            <w:shd w:val="clear" w:color="auto" w:fill="auto"/>
          </w:tcPr>
          <w:p w:rsidR="00DA1DB0" w:rsidRPr="002D03F8" w:rsidRDefault="00DA1DB0" w:rsidP="00AB16AA">
            <w:pPr>
              <w:spacing w:after="0" w:line="240" w:lineRule="auto"/>
              <w:ind w:right="-115"/>
              <w:jc w:val="center"/>
              <w:rPr>
                <w:rFonts w:ascii="GHEA Grapalat" w:eastAsia="Calibri" w:hAnsi="GHEA Grapalat" w:cs="Times New Roman"/>
                <w:b/>
                <w:color w:val="C6D9F1"/>
              </w:rPr>
            </w:pPr>
            <w:r w:rsidRPr="002D03F8">
              <w:rPr>
                <w:b/>
              </w:rPr>
              <w:br w:type="page"/>
            </w:r>
            <w:r w:rsidR="00AB16AA">
              <w:rPr>
                <w:rFonts w:ascii="GHEA Grapalat" w:hAnsi="GHEA Grapalat"/>
                <w:b/>
              </w:rPr>
              <w:t>ԳՕՍՏ</w:t>
            </w:r>
            <w:r w:rsidRPr="002D6672">
              <w:rPr>
                <w:rFonts w:ascii="GHEA Grapalat" w:hAnsi="GHEA Grapalat"/>
                <w:b/>
              </w:rPr>
              <w:t xml:space="preserve"> ԻՍՕ</w:t>
            </w:r>
            <w:r>
              <w:rPr>
                <w:rFonts w:ascii="GHEA Grapalat" w:hAnsi="GHEA Grapalat"/>
                <w:b/>
              </w:rPr>
              <w:t>/ԻԷԿ 17020-2013 ստանդար</w:t>
            </w:r>
            <w:r>
              <w:rPr>
                <w:rFonts w:ascii="GHEA Grapalat" w:hAnsi="GHEA Grapalat"/>
                <w:b/>
              </w:rPr>
              <w:softHyphen/>
              <w:t>տի կետը</w:t>
            </w:r>
          </w:p>
        </w:tc>
        <w:tc>
          <w:tcPr>
            <w:tcW w:w="100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A1DB0" w:rsidRPr="002D6672" w:rsidRDefault="00DA1DB0" w:rsidP="001838C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C6D9F1"/>
              </w:rPr>
            </w:pPr>
            <w:r w:rsidRPr="002D6672">
              <w:rPr>
                <w:rFonts w:ascii="GHEA Grapalat" w:eastAsia="Calibri" w:hAnsi="GHEA Grapalat" w:cs="Times New Roman"/>
                <w:b/>
              </w:rPr>
              <w:t>Բովանդակությունը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1DB0" w:rsidRPr="006F6161" w:rsidRDefault="00DA1DB0" w:rsidP="00CA27C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F6161">
              <w:rPr>
                <w:rFonts w:ascii="GHEA Grapalat" w:hAnsi="GHEA Grapalat"/>
                <w:b/>
                <w:sz w:val="20"/>
                <w:szCs w:val="20"/>
              </w:rPr>
              <w:t>Որտեղ է վկայակոչված</w:t>
            </w:r>
          </w:p>
          <w:p w:rsidR="00DA1DB0" w:rsidRDefault="00DA1DB0" w:rsidP="00CA27C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34112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6F6161">
              <w:rPr>
                <w:rFonts w:ascii="GHEA Grapalat" w:hAnsi="GHEA Grapalat"/>
                <w:b/>
                <w:sz w:val="20"/>
                <w:szCs w:val="20"/>
              </w:rPr>
              <w:t>Փաստաթղթի անվանումը, կետը</w:t>
            </w:r>
            <w:r w:rsidRPr="0093411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DA1DB0" w:rsidRPr="006F6161" w:rsidRDefault="00DA1DB0" w:rsidP="00CA27C2">
            <w:pPr>
              <w:jc w:val="center"/>
              <w:rPr>
                <w:rFonts w:ascii="GHEA Grapalat" w:hAnsi="GHEA Grapalat"/>
                <w:b/>
                <w:color w:val="C6D9F1"/>
                <w:sz w:val="20"/>
                <w:szCs w:val="20"/>
              </w:rPr>
            </w:pPr>
            <w:r w:rsidRPr="00934112">
              <w:rPr>
                <w:rFonts w:ascii="GHEA Grapalat" w:hAnsi="GHEA Grapalat"/>
                <w:b/>
                <w:sz w:val="16"/>
                <w:szCs w:val="16"/>
              </w:rPr>
              <w:t xml:space="preserve">(լրացվում է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ՀԳՄ-ի</w:t>
            </w:r>
            <w:r w:rsidRPr="00934112">
              <w:rPr>
                <w:rFonts w:ascii="GHEA Grapalat" w:hAnsi="GHEA Grapalat"/>
                <w:b/>
                <w:sz w:val="16"/>
                <w:szCs w:val="16"/>
              </w:rPr>
              <w:t xml:space="preserve"> կողմից)</w:t>
            </w:r>
          </w:p>
        </w:tc>
      </w:tr>
      <w:tr w:rsidR="00DA1DB0" w:rsidRPr="005E6DD5" w:rsidTr="00A75D26">
        <w:trPr>
          <w:trHeight w:val="295"/>
        </w:trPr>
        <w:tc>
          <w:tcPr>
            <w:tcW w:w="1278" w:type="dxa"/>
          </w:tcPr>
          <w:p w:rsidR="00DA1DB0" w:rsidRPr="002D03F8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2D03F8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29" w:type="dxa"/>
          </w:tcPr>
          <w:p w:rsidR="00DA1DB0" w:rsidRPr="002D03F8" w:rsidRDefault="00DA1DB0" w:rsidP="002D03F8">
            <w:pPr>
              <w:rPr>
                <w:rFonts w:ascii="Sylfaen" w:eastAsia="Calibri" w:hAnsi="Sylfaen" w:cs="Times New Roman"/>
                <w:sz w:val="24"/>
                <w:szCs w:val="24"/>
              </w:rPr>
            </w:pPr>
            <w:r w:rsidRPr="002D03F8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Ընդհանուր պահանջներ</w:t>
            </w:r>
          </w:p>
        </w:tc>
        <w:tc>
          <w:tcPr>
            <w:tcW w:w="2835" w:type="dxa"/>
          </w:tcPr>
          <w:p w:rsidR="00DA1DB0" w:rsidRPr="002D03F8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DA1DB0" w:rsidRPr="005E6DD5" w:rsidTr="00A75D26">
        <w:trPr>
          <w:trHeight w:val="295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4.1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</w:rPr>
            </w:pPr>
            <w:bookmarkStart w:id="1" w:name="_Toc343527812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>Անաչառություն և անկախություն</w:t>
            </w:r>
            <w:bookmarkEnd w:id="1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39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</w:rPr>
              <w:t>4.1.1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</w:rPr>
              <w:t>Հսկողության աշխատանքները պետք է կատարվեն</w:t>
            </w: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</w:rPr>
              <w:t xml:space="preserve">անաչառորեն: </w:t>
            </w:r>
            <w:r w:rsidRPr="005E6DD5">
              <w:rPr>
                <w:rFonts w:ascii="GHEA Grapalat" w:eastAsia="Calibri" w:hAnsi="GHEA Grapala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295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</w:rPr>
              <w:t>4.1.2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>Հ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սկողություն իրականացնող մարմինը պետք է պատասխանտու լինի իր հսկողության գործունեության անաչառության համար և չպետք է թույլատրի, որ առևտրային, ֆինանսական կամ այլ ճնշումները վտանգեն անաչառությունը: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295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</w:rPr>
              <w:t>4.1.3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</w:rPr>
              <w:t>Հ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սկողություն իրականացնող մարմինը պետք է շարունակաբար բացահայտի անաչառությունը վտանգող ռիսկերը: Դա պետք ընդգրկի այն ռիսկերը, որոնք ծագում են այդ մարմնի գործունեությունից կամ փոխհարաբերություններից, կամ այդ մարմնի անձնակազմի փոխհարաբերություններից: Այնուամենայնիվ, այդ փոխհարաբերություններն անհրաժեշտաբար չեն ենթադրում, որ հսկողություն իրականացնող մարմնի գործունեության անաչառությունը վտանգված է: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449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</w:rPr>
              <w:t>4.1.4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Եթե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բացահայտվել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է անաչառության հետ կապված ռիսկը, ապա հսկողություն իրականացնող մարմինը պետք է ունակ լինի ցուցադրել, թե ինչպես է այն վերացնում կամ նվազագույնի հասցնում նման ռիսկը: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DA1DB0" w:rsidRPr="005E6DD5" w:rsidTr="00A75D26">
        <w:trPr>
          <w:trHeight w:val="39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</w:rPr>
              <w:t>4.1.5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>Հ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բարձրա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ստիճան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ղեկավարությունը պետք է ստանձնած լինի անաչառության ապահովման պարտավորությունը: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1226"/>
        </w:trPr>
        <w:tc>
          <w:tcPr>
            <w:tcW w:w="1278" w:type="dxa"/>
            <w:vMerge w:val="restart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4.1.6</w:t>
            </w: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</w:rPr>
              <w:t>Հ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բավականաչափ անկախ լինի` իր ծառայությունների իրականացման պահանջվող պայմաններին բավարարելու համար: Այդ պայաններից կախված, այն պետք է բավարարի Հավելված Ա-ում նախատեսված նվազագույն պահանջներին` ինչպես նկարագրված է ստորև: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640"/>
        </w:trPr>
        <w:tc>
          <w:tcPr>
            <w:tcW w:w="1278" w:type="dxa"/>
            <w:vMerge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  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ա)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ab/>
              <w:t xml:space="preserve">Երրորդ կողմի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հսկողություն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իրականացնող մարմինը պետք է բավարարի Կետ Ա.1-ում բերված Ա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տեսակին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ներկայացվող պահանջներին (երրորդ կողմի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մարմին):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1284"/>
        </w:trPr>
        <w:tc>
          <w:tcPr>
            <w:tcW w:w="1278" w:type="dxa"/>
            <w:vMerge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DA1DB0" w:rsidRPr="005E6DD5" w:rsidRDefault="00DA1DB0" w:rsidP="008F2470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 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բ)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ab/>
              <w:t xml:space="preserve">Առաջին կողմի, երկրորդ կողմի կամ առաջին և երկրորդ կողմերի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հսկողություն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ներ իրականացնող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մարմինը, որը կազմում է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առարկաների նախագծման, արտադրության, մատակարարման, տեղակայման, օգտագործման կամ սպասարկման մեջ ներգրավված կազմակերպության առանձին և ճանաչելի մասը, և որը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յան ծառայություններ է մատուցում միայն իր մայր կազմակերպությանը (ներքին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մարմին), պետք է բավարարի Կետ Ա.2-ում բերված Բ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տեսակ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ին ներկայացվող պահանջներին: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1431"/>
        </w:trPr>
        <w:tc>
          <w:tcPr>
            <w:tcW w:w="1278" w:type="dxa"/>
            <w:vMerge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 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գ)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ab/>
              <w:t xml:space="preserve">Առաջին կողմի, երկրորդ կողմի կամ առաջին և երկրորդ կողմերի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հսկողություն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ներ իրականացնող մարմինը, որը կազմում է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առարկաների նախագծման, արտադրության, մատակարարման, տեղակայման, օգտագործման կամ սպասարկման մեջ ներգրավված կազմակերպության ճանաչելի, բայց ոչ անհրաժեշտաբար առանձին մասը, և որը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ծառայություններ է մատուցում իր մայր կազմակերպությանը և/կամ այլ կողմերին, պետք է բավարարի Կետ Ա.3-ում բերված Գ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տեսակին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ներկայացվող պահանջներին: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4.2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2" w:name="_Toc343527813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>Գաղտնիություն</w:t>
            </w:r>
            <w:bookmarkEnd w:id="2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39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4.2.1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Օրենսդրորեն սահմանված պարտավորությունների համաձայն, 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պատասխանատու լինի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աշխատանքների իրականացման ընթացքում ձեռքբերված կամ ձևավորված տեղեկատվության կառավարման համար: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հաճախորդին նախօրոք տեղեկացնի այն տեղեկատվության մասին, որը նա մտադիր է մատչելի դարձնել հանրության համար: Բացառությամբ այն տեղեկատվությունից, որը հաճախորդը հանրորեն մատչելի է դարձնում, կամ որի վերաբերյալ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մարմնի և հաճախորդի միջև ձեռք է բերվել պայմանավորվածություն (օրինակ` գանգատներին պատասխանելու նպատակով), մյուս բոլոր տեղեկությունները համարվում են մասնավոր տեղեկատվություն և պետք է դիտվեն որպես գաղտնի տեղեկատվություն: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4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4.2.2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Երբ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օրենքով կամ պայմանագրային պարտավորություններով պարտավոր է հրապարակել գաղտնի տեղեկատվություն, ապա համապատասխան հաճախորդը կամ ֆիզիկական անձը պետք է ծանուցվեն տրամադրվող տեղեկատվության վերաբերյալ, եթե օրենքով դա չի արգելվում: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4.2.3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Բացի հաճախորդից, այլ աղբյուրներից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(օրինակ` գանգատողից, կարգավորողներից) հ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աճախորդի մասին ձեռքբերված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տեղեկատվությունը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 պետք է համարվի գաղտնի: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E6DD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E6DD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Կառուցվածքային պահանջներ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395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5.1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before="120" w:after="12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</w:rPr>
            </w:pPr>
            <w:bookmarkStart w:id="3" w:name="_Toc343527815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</w:rPr>
              <w:t>Վարչական պահանջներ</w:t>
            </w:r>
            <w:bookmarkEnd w:id="3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5.1.1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 xml:space="preserve"> մարմինը պետք է լինի իրավաբանական անձ կամ իրավաբանական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անձի առանձնացված ստորաբաժանում, այնպես, որ այն կարողանա օրենքով պատասխանատվություն կրել իր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հսկողության բոլոր աշխատանքների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համար: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632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5.1.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հանդիսանում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ունից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բացի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գործունեության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մեջ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ներգրավված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իրավաբանական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ճանաչելի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ներսում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560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5.1.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որոնցով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իրազեկությանը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վերապահված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295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5.1.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բավարար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ապահովվածություն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օրինակ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ապահովագրություն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պահուստներ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գործունեությունից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ծագող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պարտավորությունները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ծածկելու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449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5.1.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փաստաթղթեր, որոնք նկարագրում են այն պայմանագրային պայմանները, որոնցով այն իրականացնում է հսկողությունը, բացառությամբ երբ այն հսկողության ծառայություններ է մատուցում իրավաբանական անձին, որի մասն է կազմում այն: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DA1DB0" w:rsidRPr="005E6DD5" w:rsidTr="00A75D26">
        <w:trPr>
          <w:trHeight w:val="39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5.2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before="120" w:after="12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4" w:name="_Toc343527816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Կազմակերպումը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և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կառավարում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>ը</w:t>
            </w:r>
            <w:bookmarkEnd w:id="4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կառուցվածքը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անաչառությունը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կազմակերպված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այնպես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որպեսզի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ընձեռվի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պահպանել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ունակությունը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փաստաթղթավորի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կազմակերպության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պատասխանատվությունները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հաշվետվությունների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կառուցվածքը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կազմում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իրավաբանական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միջև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փոխկապվածությունը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DA1DB0" w:rsidRPr="005E6DD5" w:rsidTr="00A75D26">
        <w:trPr>
          <w:trHeight w:val="39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ունենա մեկ կամ մի քանի անձ(ինք)` տեխնիկական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ղեկավար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(ներ), ովքեր ամբողջապես պատասխանատու կլինեն` սույն ստանդարտին համապատասխան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գործունեության իրականացումն երաշխավորելու համար: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մարմնում պետք է նշանակվի մեկ կամ ավելի անձ(ինք), ով կփոխարինի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ընթացիկ գործունեության համար պատասխանատու ցանկացած տեխնիկական կառավարչին` նրա բացակայության ընթացքում: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7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գործունեության մեջ ներգրավված իր յուրաքանչյուր կազմակերպության յուրաքանչյուր պաշտոնի տեսակի համար սահմանված աշխատանքի նկարագրությունը կամ այլ փաստաթուղթ: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39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E6DD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12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</w:rPr>
            </w:pPr>
            <w:bookmarkStart w:id="5" w:name="_Toc343527817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  <w:lang w:val="hy-AM"/>
              </w:rPr>
              <w:t>Ռեսուրսներին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  <w:lang w:val="hy-AM"/>
              </w:rPr>
              <w:t>ներկայացվող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  <w:lang w:val="hy-AM"/>
              </w:rPr>
              <w:t>պահանջնե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  <w:lang w:val="hy-AM"/>
              </w:rPr>
              <w:t>ր</w:t>
            </w:r>
            <w:bookmarkEnd w:id="5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6" w:name="_Toc343527818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Անձնակազ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>մ</w:t>
            </w:r>
            <w:bookmarkEnd w:id="6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սահմանի և փաստաթղթավորի իրազեկության պահանջները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աշխատանքներում ներգրավված ողջ անձնակազմի համար, ներառյալ` կրթության, վերապատրաստման, տեխնիկական գիտելիքի, հմտությունների և փորձի պահանջները: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Հսկողություն իրականացնող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մարմինը պետք է վարձի կամ պայմանագրեր կնքի բավարար թվով անձանց հետ, ովքեր ունեն պահանջվող իրազեկություն, այդ թվում, անհրաժեշտության դեպքում` մասնագիտական դատողություններ կատարելու, այդ մարմնին վերապահված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ան գործունեության տեսակին,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ոլորտին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և ծավալին համապատասխան կարողություններ: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rPr>
          <w:trHeight w:val="416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անձնակազմը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իրականացվելիք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lastRenderedPageBreak/>
              <w:t>հսկողությանը հ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որակավորումներ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վերապատրաստում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փորձառություն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բավարար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գիտելիքներ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Նրանք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գիտելիք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- հսկվող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արտադրանքի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արտադրության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ծառայությունների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մատուցման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տեխնոլոգիայի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վերաբերյալ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-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արտադրանքի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օգտագործման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ծառայությունների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մատուցման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եղանակի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վերաբերյալ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-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արտադրանքի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օգտագործման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խոտանների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ժամանակ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խափանումների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ծառայությունների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մատուցման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ժամանակ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թերությունների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վերաբերյալ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Նրանք պետք է հասկանան արտադրանքի օգտագործման, գործընթացների իրականացման և ծառայությունների մատուցման կանոնավոր ցուցանիշների նկատմամբ հայտնաբերված շեղումների նշանակությունը: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rPr>
          <w:trHeight w:val="449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lastRenderedPageBreak/>
              <w:t>6.1.4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յուրաքանչյուր անձի համար պետք է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հստակ դարձնի 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պարտականությունները, պատասխանատվությունները և լիազորությունները: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>Հսկողություն իրակ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փաստաթղթավորված ընթացակարգեր` տեսուչների և </w:t>
            </w: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>հսկողության աշխատանք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ներում ներգրավված այլ անձնակազմի ընտրության, վերապատրաստման, պաշտոնապես լիազորման և մոնիտորինգի համար: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rPr>
          <w:trHeight w:val="449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6.1.6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Հսկողության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փաստաթղթավորված ընթացակարգերը (տես` 6.1.5) պետք է ուղղված լինեն հետևյալ փուլերին. </w:t>
            </w:r>
          </w:p>
          <w:p w:rsidR="00DA1DB0" w:rsidRPr="005E6DD5" w:rsidRDefault="00DA1DB0" w:rsidP="002D03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59" w:hanging="283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պարտականություններին ծանոթանալու շրջան,</w:t>
            </w:r>
          </w:p>
          <w:p w:rsidR="00DA1DB0" w:rsidRPr="005E6DD5" w:rsidRDefault="00DA1DB0" w:rsidP="002D03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59" w:hanging="283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փորձառու տեսուչների հետ ուղղորդվող աշխատանքի շրջան,</w:t>
            </w:r>
          </w:p>
          <w:p w:rsidR="00DA1DB0" w:rsidRPr="005E6DD5" w:rsidRDefault="00DA1DB0" w:rsidP="002D03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59" w:hanging="283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շարունակական վերապատրաստում` տեխնոլոգիաների և հսկողության մեթոդների զարգացմանը համընթաց գիտելիքները զարգացնելու համար: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6.1.7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Պահանջվող վերապատրաստումը պետք է կախված լինի յուրաքանչյուր տեսուչի և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հսկողության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գործունեության մեջ ներգրավված այլ անձնակազմի ունակությունից, որակավորումներից և փորձից, ինչպես նաև` մոնիտորինգի արդյունքներից (տես` 6.1.8-ը):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39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6.1.8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Հսկողության մեթոդներին և ընթացակարգերին ծանոթ անձնակազմը պետք է բոլոր տեսուչների և հսկողության աշխատանքներու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մ ներգրավված այլ անձնակազմի աշխատանքի մշտադիտարկման միջոցով ապահովի նրանց բավարար կատարողականը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: Մշտադիտարկման արդյունքները պետք է օգտագործվեն վերապատրաստման կարիքների գնահատման համար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(տես 6.1.7-ը):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6.1.9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Յուրաքանչյուր տեսուչ պետք է ենթարկվի գործնական դիտարկման, եթե չկան բավականաչափ հաստատող ապացույցներ, որ տեսուչի մասնագիտական հմտությունները պահպանվում են: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6.1.10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պահպանի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հսկողության աշխատանքներում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ներգրավված իր անձնակազմի յուրաքանչյուր անդամի աշխատանքի մշտադիտարկման, կրթության, վերապատրաստման, տեխնիկական գիտելիքների, հմտությունների, փորձի և լիազորությունների մասին գրառումները: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6.1.11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Հսկողության աշխատանքներում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ներգրավված անձնակազմը չպետք է վարձատրվի այնպես, որ դա ազդի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արդյունքների վրա: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6.1.12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ողջ անձնակազմը, թե՛ ներքին և թե՛ արտաքին, որը կարող է ազդել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հսկողության աշխատանքների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վրա, պետք է գործի անաչառորեն: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6.1.13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ողջ անձնակազմը, այդ թվում` ենթակապալառուները, արտաքին մարմինների անձնակազմը և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անունից գործող ֆիզիկական անձինք, պետք է գաղտնի պահեն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գործունեության իրականացման ընթացքում ձեռքբերված կամ ձևավորված ողջ տեղեկատվությունը, բացառությամբ օրենքով նախատեսված դեպքերից: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Սարքավորումներ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հարմարանքներ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ունենա մատչելի, կիրառելի և համապատասխան սարքավորումներ և հարմարանքներ, որոնք թույլ են տալիս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գործունեության հետ կապված բոլոր աշխատանքները կատարել իրազեկ և անվտանգ ձևով: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39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սահմանված կանոններ`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հսկողության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իրականացման նպատակով որոշակի սարքավորումների և հարմարանքների ձեռքբերման և օգտագործման համար: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երաշխավորի 6.2.1-ում նշված սարքավորումների և հարմարանքների նպատակային օգտագործման համար շարունակական պիտանելիությունը: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Բոլոր սարքավորումները, որոնք զգալի ազդեցություն ունեն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արդյունքների վրա, պետք է սահմանվեն և, անհրաժեշտության դեպքում, առանձնակի նույնականացվեն: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Բոլոր սարքավորումները (տես` 6.2.4) պետք է պահպանվեն` փաստաթղթավորված ընթացակարգերի և հրահանգների համաձայն: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Անհրաժեշտության դեպքում,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արդյունքների վրա զգալի ազդեցություն ունեցող չափող սարքավորումները պետք է նախքան շահագործելը տրամաչափարկվեն, իսկ հետագայում` տրամաչափարկվեն սահմանված ծրագրի համաձայն: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7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Սարքավորումների տրամաչափարկման ընդհանուր ծրագիրը պետք է կազմվի և իրականացվի այնպես, որպեսզի երաշխավորվի, որ 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կողմից կատարված չափումները հնարավորինս համադրելի են ազգային և միջազգային չափանմուշներին, եթե կան այդպիսիք: Եթե ազգային և միջազգային չափանմուշների հետ համադրումը հնարավոր չէ, ապա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պահպանի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արդյունքների կորելյացիոն կամ ճշտգրտության փաստարկները: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8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կողմից իրականացվող չափումների չափանմուշները պետք է օգտագործվեն միայն տրամաչափարկման և ոչ մի այլ նպատակներով: Չափանմուշները պետք է տրամաչափարկվեն` ապահովելով ազգային կամ միջազգային չափանմուշների հետ համադրելիությունը: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416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9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hy-AM"/>
              </w:rPr>
              <w:t>Համապատասխան դեպքերում,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պետ ք է իրականացնել շահագործման մեջ գտնվող սարքի տեխնիկական սպասարկում`</w:t>
            </w:r>
          </w:p>
          <w:p w:rsidR="00DA1DB0" w:rsidRPr="005E6DD5" w:rsidRDefault="00DA1DB0" w:rsidP="002D03F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պարբերական տրամաչափարկումների միջև ընկած ժամանակաշրջանում: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10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Չափանմուշ նյութերը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 հնարավորության դեպքում, պետք է համադրելի լինեն ազգային կամ միջազգային չափանմուշ նյութերի հետ, եթե կան այդպիսիք: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Մուտքային հ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սկողության գործունեության արդյունքների համար անհրաժեշտության դեպքում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հսկողության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սահմանի հետևյալ ընթացակարգերը`</w:t>
            </w:r>
          </w:p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ա) մատակարարների ընտրությունը և հաստատումը,</w:t>
            </w:r>
          </w:p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բ) ստացվող ապրանքների և ծառայությունների համապատասխանության ստուգումը,</w:t>
            </w:r>
          </w:p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12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lastRenderedPageBreak/>
              <w:t xml:space="preserve">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գ) համապատասխան պահեստավորման հարմարությունների երաշխավորումը: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Անհրաժեշտության դեպքում պահեստավորված առարկաների վիճակը պետք է գնահատվի համապատասխան պարբերականությամբ` վատթարացումը հայտնաբերելու նպատակով: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Եթե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ստուգումների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համար օգտագործում է համակարգիչներ կամ ավտոմատացված սարքավորումներ, ապա այն պետք է ապահովի, որ. </w:t>
            </w:r>
          </w:p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ա) համակարգչային ծրագրերը պիտանի են օգտագործման համար, </w:t>
            </w:r>
          </w:p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ab/>
              <w:t xml:space="preserve">բ) սահմանված են և գործում են ընթացակարգեր` տվյալների ամբողջականությունը և անվտանգությունը պաշտպանելու համար, </w:t>
            </w:r>
          </w:p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  <w:t>գ) համակարգիչը և ավտոմատացված սարքավորումները պահպանվում են այնպես, որպեսզի երաշխավորվի դրանց պատշաճ աշխատանքը: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փաստաթղթավորված ընթացակարգեր` անսարք սարքավորումների համար: Անսարք սարքավորումները պետք է հանվեն ծառայությունից` առանձնացվելով, տեսանելի պիտակավորմամբ կամ մակնշմամբ: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ուսումնասիրի անսարքության ազդեցությունը նախկին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հսկողությունների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վրա և, անհրաժեշտության դեպքում, ձեռնարկի համապատասխան ուղղիչ գործողություն: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Սարքավորմանը, այդ թվում` ծրագրային ապահովմանը վերաբերող տեղեկությունները պետք է գրանցվեն: Տեղեկությունները պետք է ներառեն բնութագրերի նկարագրությունը և, համապատասխան դեպքերում`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տրամաչափարկման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ու սպասարկման մասին տվյալները: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Ենթակապալ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6.3.1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Սովորաբար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իրականացնում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պարտավորություն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ստանձնել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որևէ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կնքում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ենթակապալ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կարողանա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ցուցադրել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ենթակապալառուն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իրազեկ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խնդրո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առարկա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որտեղ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կիրառելի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համապաատասխանում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նախատեսված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գնահատմանն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առնչվող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ստանդարտներին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578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6.3.2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հաճախորդին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տեղեկացնի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որևէ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ենթակապալի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պայմանագիր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կնքելու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մտադրության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6.3.3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Ցանկացած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դեպքում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ենթակապալառուները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կազմող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հսկողությա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առարկայի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պատասխանատվությունը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6.3.4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գրանցի և պահպանի ենթակապալառուների իրազեկության և սույն ստանդարտի կամ համապատասխանության գնահատման ոլորտի այլ ստանդարտների պահանջներին համապատասխանության մասին իր ուսումնասիրության տվյալները: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վարի բոլոր ենթակապալառուների գրանցամատյան: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E6DD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12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</w:rPr>
            </w:pPr>
            <w:bookmarkStart w:id="7" w:name="_Toc343527821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  <w:lang w:val="hy-AM"/>
              </w:rPr>
              <w:t>Գործընթացին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  <w:lang w:val="hy-AM"/>
              </w:rPr>
              <w:t>ներկայացվող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</w:rPr>
              <w:t>պահանջնե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</w:rPr>
              <w:t>ր</w:t>
            </w:r>
            <w:bookmarkEnd w:id="7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lastRenderedPageBreak/>
              <w:t>7.1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12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8" w:name="_Toc343527822"/>
            <w:r w:rsidRPr="005E6DD5">
              <w:rPr>
                <w:rFonts w:ascii="GHEA Grapalat" w:eastAsia="Times New Roman" w:hAnsi="GHEA Grapalat" w:cs="Sylfaen"/>
                <w:b/>
                <w:bCs/>
                <w:color w:val="000000"/>
                <w:kern w:val="32"/>
                <w:sz w:val="24"/>
                <w:szCs w:val="24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ան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մեթոդներ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և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ընթացակարգե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>ր</w:t>
            </w:r>
            <w:bookmarkEnd w:id="8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12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օգտագործի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այնպիսի մեթոդներ և ընթացակարգեր, որոնք սահմանված են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համար նախատեսված պահանջներում: Եթե դրանք սահմանված չեն, ապա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մշակի կիրառման ենթակա կոնկրետ մեթոդներ և ընթացակարգեր (տես` 7.1.3-ը): Եթե հաճախորդի կողմից առաջարկված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մեթոդը կիրառելի չէ, ապա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տեղեկացնի հաճախորդին այդ մասին: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փաստաթղթավորված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հրահանգներ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պլանավորման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նմուշառման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մեթոդների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վերաբերյալ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մինչդեռ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հրահանգների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բացակայությունը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վտանգել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արդյունավետությունը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դեպքում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վիճակագրական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մեթոդների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բավարար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գիտելիք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վիճակագրորեն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ողջամիտ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նմուշառման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ճիշտ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վերամշակումը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մեկնաբանությունը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մեթոդներ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մեթոդները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լիարժեքորեն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փաստաթղթավորված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աշխատանքին առնչվող բոլոր հրահանգները, ստանդարտները կամ գրավոր ընթացակարգերը, աշխատանքային աղյուսակները, ստուգաթերթերը և հիմքային տվյալները պետք է պահպանվեն վերջնական թարմացված տեսքով և միշտ մատչելի լինեն անձնակազմի համար: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պայմանագրերի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աշխատանքային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հրահանգների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իրականացվելիք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պատկանում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փորձառության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շրջանակներին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կազմակերպությունն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ռեսուրսներ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բավարարելու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.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սկողություն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ծառայությունների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կարիքն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ունեցող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ներկայացվող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համապատասխանաբար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հատուկ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պայմանները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հասկանալի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այնպես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պարտականությունները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անձնակազմին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տրվել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հստակ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ձևակերպված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միանշանակ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հրահանգներ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ձ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եռնարկվող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պարբերական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ուսումնասիրությունների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միջոցով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պ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այմանագրի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աշխատանքային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հրահանգի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բավարարված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7.1.6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Երբ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օգտագործում է հսկողության գործընթացի մաս կազմող այլ աղբյուրից ստացված տեղեկատվությունը, ապա այն պետք է ստուգի այդ տեղեկատվության ամբողջականությունը: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7.1.7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Դիտարկումների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հսկողություն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ձեռքբերված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տվյալները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գրանցվեն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ժամանակին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առնչվող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տեղեկատվության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կորուստը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նպատակով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7.1.8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Հաշվարկները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տվյալների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փոխանցումները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ենթարկվեն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ստուգումների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7.1.9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փաստաթղթավորված հրահանգներ`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 անվտանգ ձևով իրականացնելու համար: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lastRenderedPageBreak/>
              <w:t>7.2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120"/>
              <w:ind w:left="-11" w:right="-312" w:hanging="18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9" w:name="_Toc343527823"/>
            <w:r w:rsidRPr="005E6DD5">
              <w:rPr>
                <w:rFonts w:ascii="Sylfaen" w:eastAsia="Times New Roman" w:hAnsi="Sylfaen" w:cs="Sylfaen"/>
                <w:b/>
                <w:bCs/>
                <w:kern w:val="32"/>
                <w:sz w:val="24"/>
                <w:szCs w:val="24"/>
              </w:rPr>
              <w:t xml:space="preserve"> 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Հսկողության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առարկաների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և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նմուշների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գործածում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>ը</w:t>
            </w:r>
            <w:bookmarkEnd w:id="9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7.2.1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ապահովի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ենթակա առարկաների և նմուշների միանշանակ բնութագրումը, որպեսզի զերծ մնա այդ առարկաների և նմուշների նույնականության հետ կապված խառնաշփոթից: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7.2.2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որոշի, թե արդյոք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ենթակա առարկան նախապատրաստվել է: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7.2.3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Տեսուչի կողմից նկատված կամ նրան տեղեկացված 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անկացած առանձին արտասովոր երևույթ պետք է գրանցվի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: Եթե առկա է որևէ կասկած` կապված իրականացվելիք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համար առարկայի պիտանելիության հետ, կամ եթե առարկան չի համապատասխանում տրամադրված նկարագրությանը, ապա 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քննարկի խնդիրը հաճախորդի հետ: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7.2.4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փաստաթղթավորված ընթացակարգեր և համապատասխան պայմաններ, որպեսզի զերծ մնա իր պատասխանատվության տակ գտնվող ստուգման ենթակա առարկաների փչանալուց կամ վնասվելուց: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bookmarkStart w:id="10" w:name="_Toc343527824"/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գրառումներ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ը</w:t>
            </w:r>
            <w:bookmarkEnd w:id="10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7.3.1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ապահովի գրառումների համակարգի (տես` 8.4-ը) վարումը`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հսկողության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ընթացակարգերի արդյունավետ իրականացումը ցուցադրելու և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գնահատման հնարավորություն ընձեռելու համար: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7.3.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հաշվետվությունը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հավաստագիրը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կարգով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բացահայտելի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իրականացրած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տեսուչի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bookmarkStart w:id="11" w:name="_Toc343527825"/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հաշվետվություններ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հսկողության սերտիֆիկատներ</w:t>
            </w:r>
            <w:bookmarkEnd w:id="11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7.4.1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color w:val="000000"/>
                <w:sz w:val="18"/>
                <w:szCs w:val="18"/>
                <w:lang w:val="hy-AM"/>
              </w:rPr>
              <w:t>իրակ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նկարագրված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color w:val="000000"/>
                <w:sz w:val="18"/>
                <w:szCs w:val="18"/>
                <w:lang w:val="hy-AM"/>
              </w:rPr>
              <w:t>հասանելի</w:t>
            </w: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հսկողության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հաշվետվության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հսկողության սերտիֆիկատի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ձևով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7.4.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Ցանկացած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հաշվետվություն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/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սերտիֆիկատ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ընդգրկի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ստորև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նշված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կետերը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տրամադրող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տվյալները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բացառիկ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տարբերանշանը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ամսաթիվը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ամսաթիվը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ժամկետը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 ենթարկված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առարկայի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բնութագրերը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լիազորված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անձնակազմի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ստորագրություն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հաստատման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նշան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հայտարարություն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որտեղ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կիրառելի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բացառությամբ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մանրամասնված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7.4.3-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համաձայն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7.4.3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տրամադրի 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հսկողության սերտիֆիկատ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որում ներառված չեն 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արդյունքները [տես` 7.4.2 է)] միայն այն դեպքում, երբ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կարող է պատրաստել նաև </w:t>
            </w:r>
            <w:r w:rsidRPr="001838C9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արդյունքները պարունակող </w:t>
            </w:r>
            <w:r w:rsidRPr="001838C9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հաշվետվություն և երբ թե</w:t>
            </w:r>
            <w:r w:rsidRPr="005E6DD5">
              <w:rPr>
                <w:rFonts w:ascii="Calibri" w:eastAsia="Calibri" w:hAnsi="Calibri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սերտիֆիկատը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և թե</w:t>
            </w:r>
            <w:r w:rsidRPr="005E6DD5">
              <w:rPr>
                <w:rFonts w:ascii="Calibri" w:eastAsia="Calibri" w:hAnsi="Calibri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հաշվետվությունը հղվում են միմյանց: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7.4.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7.4.2-ում թվարկված ողջ տեղեկատվությունը պետք է ներկայացվի ճշգրիտ, ստույգ և հստակ: Եթե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հաշվետվությունը կամ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>սերտիֆիկատը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պարունակում են արդյունքներ, որոնք տրամադրվել են ենթակապալառուների կողմից, ապա այդ արդյունքները պետք է հստակ բնորոշված լինեն: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7.4.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Հրատարակումից հետո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հաշվետվության կամ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սերտիֆիկատի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ուղղումները կամ լրացումները պետք է գրանցվեն սույն ենթակետի (7.4) համապատասխան պահանջների համաձայն: Լրամշակված հաշվետվությունը կամ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սերտիֆիկատը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պետք է բնորոշի փոխարինված հաշվետվությունը կամ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սերտիֆիկատ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7.5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Գանգատներ և բողոքարկումներ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7.5.1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ստանալու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գնահատելու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կայացնելու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փաստաթղթավորված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7.5.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քննարկման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նկարագրությունը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մատչելի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ցանկացած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շահագրգիռ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ըստ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7.5.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Գանգատը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ստանալով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հաստատի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առնչվում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գործունեությանը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այդպես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7.5.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պատասխանատու լինի գանգատների և բողոքարկումների քննարկման գործընթացում բոլոր որոշումների համար` բոլոր մակարդակներում: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Calibri" w:eastAsia="Calibri" w:hAnsi="Calibri" w:cs="Times New Roman"/>
                <w:lang w:val="hy-AM"/>
              </w:rPr>
            </w:pPr>
            <w:r w:rsidRPr="005E6DD5">
              <w:rPr>
                <w:rFonts w:ascii="Calibri" w:eastAsia="Calibri" w:hAnsi="Calibri" w:cs="Times New Roman"/>
                <w:lang w:val="hy-AM"/>
              </w:rPr>
              <w:t>7.5.</w:t>
            </w:r>
            <w:r w:rsidRPr="005E6DD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ուսումնասիրությունը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վերաբերյալ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կայացումը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չպետք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հանգեցնի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որևէ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խտրական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7.6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bookmarkStart w:id="12" w:name="_Toc343527827"/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Գանգատների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բողոքարկումների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գործընթաց</w:t>
            </w:r>
            <w:bookmarkEnd w:id="12"/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Calibri" w:eastAsia="Calibri" w:hAnsi="Calibri" w:cs="Times New Roman"/>
                <w:lang w:val="hy-AM"/>
              </w:rPr>
            </w:pPr>
            <w:r w:rsidRPr="005E6DD5">
              <w:rPr>
                <w:rFonts w:ascii="Calibri" w:eastAsia="Calibri" w:hAnsi="Calibri" w:cs="Times New Roman"/>
                <w:lang w:val="hy-AM"/>
              </w:rPr>
              <w:t>7.</w:t>
            </w:r>
            <w:r w:rsidRPr="005E6DD5">
              <w:rPr>
                <w:rFonts w:ascii="Calibri" w:eastAsia="Calibri" w:hAnsi="Calibri" w:cs="Times New Roman"/>
              </w:rPr>
              <w:t>6</w:t>
            </w:r>
            <w:r w:rsidRPr="005E6DD5">
              <w:rPr>
                <w:rFonts w:ascii="Calibri" w:eastAsia="Calibri" w:hAnsi="Calibri" w:cs="Times New Roman"/>
                <w:lang w:val="hy-AM"/>
              </w:rPr>
              <w:t>.</w:t>
            </w:r>
            <w:r w:rsidRPr="005E6DD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քննարկման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ընդգրկի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առնվազն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տարրերը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մեթոդները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ստանալու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ճշտելու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ուսումնասիրելու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ինչպես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ձեռնարկվելիք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կայեցնելու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նկարագրությունը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գրանցելը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հսկելը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ներառյալ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լուծման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Գանգատ կամ բողոքարկում ստացող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գանգատը կամ բողոքարկումը ճշտելու համար պետք է հավաքի և ստուգի ողջ անհրաժեշտ տեղեկատվությունը: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Հնարավորության դեպքում, 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հաստատի գանգատի կամ բողոքարկման ստացումը և կատարված աշխատանքների մասին գանգատարկողին կամ բողոքարկողին պետք է տրամադրի ընթացիկ հաշվետվություններ և վերջնական եզրակացությունը: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Գանգատարկողին կամ բողոքարկողին փոխանցելու մասին որոշումը պետք է կայացնի կամ ստուգի կամ հաստատի այն անհատը(ները), ով ընդգրկված չի եղել խնդրո առարկա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նախնական գործունեության մեջ: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Հնարավորության դեպքում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գանգատարկողին կամ բողոքարկողին տրամադրի պաշտոնական ծանուցում` գանգատի կամ բողոքարկման քննության գործընթացի ավարտի մասին: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sz w:val="28"/>
                <w:szCs w:val="28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0" w:line="240" w:lineRule="auto"/>
              <w:ind w:left="79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</w:pPr>
            <w:bookmarkStart w:id="13" w:name="_Toc343527828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6"/>
                <w:szCs w:val="26"/>
              </w:rPr>
              <w:t>Կառավարման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6"/>
                <w:szCs w:val="26"/>
              </w:rPr>
              <w:t>համակարգին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6"/>
                <w:szCs w:val="26"/>
              </w:rPr>
              <w:t>ներկայացվող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6"/>
                <w:szCs w:val="26"/>
              </w:rPr>
              <w:t>պահանջնե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  <w:t>ր</w:t>
            </w:r>
            <w:bookmarkEnd w:id="13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14" w:name="_Toc343527829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Տարբերակնե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>ր</w:t>
            </w:r>
            <w:bookmarkEnd w:id="14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8.1.1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</w:rPr>
              <w:t xml:space="preserve">Ընդհանուր 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>դրույթներ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ներդնի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պահպանի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այնպիսի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վիճակի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հետևողական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համաձայն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lastRenderedPageBreak/>
              <w:t>8.1.2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bCs/>
                <w:sz w:val="18"/>
                <w:szCs w:val="18"/>
                <w:lang w:val="hy-AM"/>
              </w:rPr>
              <w:t>Ա</w:t>
            </w:r>
          </w:p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</w:pP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բաղկացած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DA1DB0" w:rsidRPr="005E6DD5" w:rsidRDefault="00DA1DB0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օրինակ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քաղաքականությունը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պատասխանատվությունների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8.2-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), </w:t>
            </w:r>
          </w:p>
          <w:p w:rsidR="00DA1DB0" w:rsidRPr="005E6DD5" w:rsidRDefault="00DA1DB0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8.3-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DA1DB0" w:rsidRPr="005E6DD5" w:rsidRDefault="00DA1DB0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գրառումների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8.4-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DA1DB0" w:rsidRPr="005E6DD5" w:rsidRDefault="00DA1DB0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8.5-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DA1DB0" w:rsidRPr="005E6DD5" w:rsidRDefault="00DA1DB0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8.6-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DA1DB0" w:rsidRPr="005E6DD5" w:rsidRDefault="00DA1DB0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8.7-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DA1DB0" w:rsidRPr="005E6DD5" w:rsidRDefault="00DA1DB0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8.8-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DA1DB0" w:rsidRPr="001838C9" w:rsidRDefault="00DA1DB0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7.5-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7.6-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8.1.3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Բ</w:t>
            </w:r>
          </w:p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մարմինը, որը ստեղծել և պահպանում է կառավարման համակարգ` համաձայն ԻՍՕ 9001-ի պահանջների, և որը կարող է աջակցել և ցուցադրել սույն ստանդարտի պահանջների հետևողական կատարումը, բավարարում է կառավարման համակարգի վերաբերյալ ստորև բերված հոդվածների պահանջներին (տե՛ս 8.2 - 8.8-ը):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8.2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bookmarkStart w:id="15" w:name="_Toc343527830"/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)</w:t>
            </w:r>
            <w:bookmarkEnd w:id="15"/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8.2.1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բարձրա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ստիճան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ղեկավարու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softHyphen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թյունը պետք է մշակի, փաստաթղթավորի և պահպանի սույն ստանդարտի իրականացման համար անհրաժեշտ քաղաքականություն և նպատակներ և պետք է ապահովի, որ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կազմակեպության բոլոր մակարդակները տեղեկյակ են և իրականացնում են քաղաքականությունը և նպատակները: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Բարձրա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ստիճան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ղեկավարությունը պետք է ապացուցի իր աջակցությունը կառավարման համակարգի ներդրմանը և իրականացմանը, և իր գործողությունների արդյունավետությունը` սույն ստանդարտի պահանջների հետևողական իրականացման ապահովման համար</w:t>
            </w:r>
            <w:r w:rsidRPr="005E6DD5">
              <w:rPr>
                <w:rFonts w:ascii="GHEA Grapalat" w:eastAsia="Calibri" w:hAnsi="GHEA Grapalat" w:cs="Times New Roman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բարձրա</w:t>
            </w: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ստիճան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</w:t>
            </w: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softHyphen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նշանակի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ներկայացուցիչ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անկախ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պարտականություններից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լիազորված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պահպանվում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</w:p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հաշվետվու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բարձրա</w:t>
            </w: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ստիճան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աշխատանքային վիճակի պահպանման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բարելավ</w:t>
            </w: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ցանկացած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կատարմանն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առնչվող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գրառումները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ընդգրկվեն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վկայակոչվեն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հղված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Հսկողության մեջ ներգրավված ողջ անձնակազմին պետք է մատչելի լինեն իրենց պարտականություններին վերաբերող կառավարման համակարգի փաստաթղթերի առանձին մասերը և առնչվող տեղեկությունները: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bookmarkStart w:id="16" w:name="_Toc343527831"/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>)</w:t>
            </w:r>
            <w:bookmarkEnd w:id="16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8.3.1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սահմանի փաստաթղթերի հսկողության ընթացակարգեր (ներքին և արտաքին), որոնք առչնվում են սույն ստանդարտի պահանջների կատարմանը: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8.3.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որպեսզի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վավերացվի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նախքան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հրապարակումը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վերանայվեն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արդիականացվեն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ըստ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վերահաստատվեն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փոփոխությունների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ընթացիկ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վերանայման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տարբերակներն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առկա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վայրերում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շարունակում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հասկանալի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հեշտությամբ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նույնականացվում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ծագում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ունեցող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հաշվառված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բաշխումը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միտումնավոր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օգտագործումը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հաշվառումը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պահպանվում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որևէ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նպատակով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bookmarkStart w:id="17" w:name="_Toc343527832"/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Գրառումների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>)</w:t>
            </w:r>
            <w:bookmarkEnd w:id="17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8.4.1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սահմանի ընթացակարգեր` սույն ստանդարտի պահանջների կատարմանն առնչվող իր գրառումների հաշվառման, պահպանման, պաշտպանության, վերականգնման, պահպանման ժամկետի և տեղակայման համար անհրաժեշտ հսկողության եղանակները: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8.4.2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>Հսկողություն իրակ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սահմանի իր պայմանագրային և իրավական պարտականություններին համապատասխան ժամկետով գրառումների պահպանման ընթացակարգեր: Այս գրառումների մատչելիությունը պետք է համապատասխանի գաղտնիության պահպանման կանոններին: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ind w:right="-312"/>
              <w:rPr>
                <w:rFonts w:ascii="GHEA Grapalat" w:eastAsia="Calibri" w:hAnsi="GHEA Grapalat" w:cs="Sylfaen"/>
                <w:b/>
                <w:lang w:val="hy-AM"/>
              </w:rPr>
            </w:pPr>
            <w:bookmarkStart w:id="18" w:name="_Toc343527833"/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վերլուծությունը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>)</w:t>
            </w:r>
            <w:bookmarkEnd w:id="18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8.5.1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>Ընդհանուր դրույթներ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8.5.1.1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>Հսկողություն իրակ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բարձրա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ստիճան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ղեկավարու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softHyphen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թյունը պետք է սահմանի ընթացակարգեր` պլանավորված պարբերականությամբ իր կառավարման համակարգի վերլուծության համար, որպեսզի երաշխավորի դրա շարունակական պիտանելիու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softHyphen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թյունը, համապատասխանությունը և արդյունավետությունը, այդ թվում` սույն ստանդարտի պահանջների կատարման վերաբերյալ սահմանված քաղաքականությունը և նպատակները: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8.5.1.2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Այդ վերլուծությունները պետք է կատարվեն առնվազն տարին մեկ անգամ: Այլ կերպ, մասնատված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(ընթացիկ) վերլուծությունները պետք է ամբողջությամբ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ավարտվեն 12-ամսյա ժամանակահատվածում: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8.5.1.3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Վերլուծությունների գրառումները պետք է պահպանվեն: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2661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8.5.2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Վերլուծության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մուտքային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տվյալները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մուտքային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տվյալները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ներառեն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տեղեկությունները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`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հաճախորդների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շահագրգիռ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կարծիքը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կապված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նախկին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վերլուծություններից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բխող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նպատակների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նվաճումը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փոփոխություններ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ազդել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վրա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1679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8.5.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Վերլուծության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արդյունքները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ներառեն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բնույթի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արդյունավետության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բարելավումը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բարելավում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կապված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ռեսուրսներ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8.6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bookmarkStart w:id="19" w:name="_Toc343527834"/>
            <w:r w:rsidRPr="005E6DD5">
              <w:rPr>
                <w:rFonts w:ascii="GHEA Grapalat" w:eastAsia="Calibri" w:hAnsi="GHEA Grapalat" w:cs="Sylfaen"/>
                <w:b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</w:rPr>
              <w:t>աուդիտներ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</w:rPr>
              <w:t>)</w:t>
            </w:r>
            <w:bookmarkEnd w:id="19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8.6.1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արդյունավետ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իրականացումն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պահպանումը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հավաստ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8.6.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Աուդիտի ծրագիրը պետք է պլանավորվի` հաշվի առնելով աուդիտի ենթակա գործընթացների և ոլորտների կարևորnւթյունը, ինչպես նաև նախկին աուդիտների արդյունքները: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8.6.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պլանավորված և համակարգված ձևով իրականացնի բոլոր ընթացակարգերի պարբերական ներքին աուդիտներ, որպեսզի ստուգի կառավարման համակարգի իրականացումը և արդյունավետությունը: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8.6.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Ներքին աուդիտներ պետք է անց կացնել առնվազն 12 ամիսը մեկ անգամ: Ներքին աուդիտների հաճախականությունը կարելի է սահմանել` կախված կառավարման համակարգի փաստացի արդյունավետությունից և դրա ապացուցված կայունությունից: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8.6.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աուդիտներն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որակավորված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ոլորտում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գիտակ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անձնակազմի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աուդիտորներն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իրենց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չեն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ենթարկում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բնագավառի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անձնակազմը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տեղեկացվում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բխող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ցանկացած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ժամանակին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պատշաճ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ձևով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բարելավման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lastRenderedPageBreak/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արդյունքները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lastRenderedPageBreak/>
              <w:t>8.7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bookmarkStart w:id="20" w:name="_Toc343527835"/>
            <w:r w:rsidRPr="005E6DD5">
              <w:rPr>
                <w:rFonts w:ascii="GHEA Grapalat" w:eastAsia="Calibri" w:hAnsi="GHEA Grapalat" w:cs="Sylfaen"/>
                <w:b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</w:rPr>
              <w:t>գործողություններ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</w:rPr>
              <w:t>)</w:t>
            </w:r>
            <w:bookmarkEnd w:id="20"/>
            <w:r w:rsidRPr="005E6DD5">
              <w:rPr>
                <w:rFonts w:ascii="GHEA Grapalat" w:eastAsia="Calibri" w:hAnsi="GHEA Grapalat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8.7.1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softHyphen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կարգեր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աշխատանքներում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softHyphen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թյուն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softHyphen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դեպքում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միջոցներ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պատճառները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վերացնելու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կրկնությունը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նպատակով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գործողությունները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համապատասխանեն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ծառացած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խնդիրների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ազդեցությանը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սահմանեն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պահանջներ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հետևյալի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.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բացահայտում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պատճառների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կրկնությունը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բացառելուն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ժամանակին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գրանցում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արդյունավետության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8.8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bookmarkStart w:id="21" w:name="_Toc343527836"/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գործողություններ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>)</w:t>
            </w:r>
            <w:bookmarkEnd w:id="21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8.8.1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պատճառները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վերացելու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8.8.2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Ձեռնարկված կ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անխարգելիչ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գործողությունները պետք է համապատասխանեն հնարավոր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խնդիրների ազդեցությանը: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8.8.3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պատճառների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բացահայտումը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առաջացումը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անհրաժշետ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գրանցումը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արդյունավետության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</w:tbl>
    <w:p w:rsidR="00E50DA7" w:rsidRPr="00AB16AA" w:rsidRDefault="00E50DA7"/>
    <w:p w:rsidR="0084642A" w:rsidRPr="00867948" w:rsidRDefault="0084642A">
      <w:pPr>
        <w:rPr>
          <w:lang w:val="nl-BE"/>
        </w:rPr>
      </w:pPr>
    </w:p>
    <w:p w:rsidR="00C1366D" w:rsidRPr="0084642A" w:rsidRDefault="00C1366D">
      <w:pPr>
        <w:rPr>
          <w:lang w:val="nl-BE"/>
        </w:rPr>
      </w:pPr>
    </w:p>
    <w:p w:rsidR="00C1366D" w:rsidRPr="0084642A" w:rsidRDefault="00C1366D">
      <w:pPr>
        <w:rPr>
          <w:lang w:val="nl-BE"/>
        </w:rPr>
      </w:pPr>
    </w:p>
    <w:sectPr w:rsidR="00C1366D" w:rsidRPr="0084642A" w:rsidSect="00867948">
      <w:headerReference w:type="default" r:id="rId9"/>
      <w:footerReference w:type="default" r:id="rId10"/>
      <w:pgSz w:w="15840" w:h="12240" w:orient="landscape"/>
      <w:pgMar w:top="630" w:right="540" w:bottom="900" w:left="1195" w:header="720" w:footer="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E1A" w:rsidRDefault="00CE6E1A" w:rsidP="00116BF7">
      <w:pPr>
        <w:spacing w:after="0" w:line="240" w:lineRule="auto"/>
      </w:pPr>
      <w:r>
        <w:separator/>
      </w:r>
    </w:p>
  </w:endnote>
  <w:endnote w:type="continuationSeparator" w:id="0">
    <w:p w:rsidR="00CE6E1A" w:rsidRDefault="00CE6E1A" w:rsidP="0011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48" w:rsidRDefault="00867948" w:rsidP="00867948">
    <w:pPr>
      <w:tabs>
        <w:tab w:val="center" w:pos="4680"/>
        <w:tab w:val="right" w:pos="9360"/>
      </w:tabs>
      <w:spacing w:line="240" w:lineRule="auto"/>
      <w:rPr>
        <w:rFonts w:ascii="GHEA Grapalat" w:hAnsi="GHEA Grapalat" w:cs="Arial"/>
        <w:sz w:val="18"/>
        <w:szCs w:val="18"/>
        <w:lang w:val="ru-RU"/>
      </w:rPr>
    </w:pPr>
    <w:r>
      <w:rPr>
        <w:rFonts w:ascii="GHEA Grapalat" w:eastAsia="Calibri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B1182E" wp14:editId="73F965C3">
              <wp:simplePos x="0" y="0"/>
              <wp:positionH relativeFrom="column">
                <wp:posOffset>-8890</wp:posOffset>
              </wp:positionH>
              <wp:positionV relativeFrom="paragraph">
                <wp:posOffset>227965</wp:posOffset>
              </wp:positionV>
              <wp:extent cx="9036685" cy="0"/>
              <wp:effectExtent l="0" t="19050" r="1206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36685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7.95pt" to="710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" strokeweight="3.75pt">
              <v:stroke linestyle="thinThick"/>
            </v:line>
          </w:pict>
        </mc:Fallback>
      </mc:AlternateContent>
    </w:r>
  </w:p>
  <w:p w:rsidR="008C4F01" w:rsidRDefault="00033961" w:rsidP="00867948">
    <w:pPr>
      <w:tabs>
        <w:tab w:val="center" w:pos="4680"/>
        <w:tab w:val="right" w:pos="9360"/>
      </w:tabs>
      <w:spacing w:line="240" w:lineRule="auto"/>
    </w:pPr>
    <w:r>
      <w:rPr>
        <w:rFonts w:ascii="GHEA Grapalat" w:hAnsi="GHEA Grapalat" w:cs="Arial"/>
        <w:sz w:val="18"/>
        <w:szCs w:val="18"/>
        <w:lang w:val="ru-RU"/>
      </w:rPr>
      <w:t>1-ին</w:t>
    </w:r>
    <w:r w:rsidR="0005082B">
      <w:rPr>
        <w:rFonts w:ascii="GHEA Grapalat" w:hAnsi="GHEA Grapalat" w:cs="Arial"/>
        <w:sz w:val="18"/>
        <w:szCs w:val="18"/>
        <w:lang w:val="nl-NL"/>
      </w:rPr>
      <w:t xml:space="preserve"> խմբագրություն          </w:t>
    </w:r>
    <w:r w:rsidR="00430920">
      <w:rPr>
        <w:rFonts w:ascii="GHEA Grapalat" w:hAnsi="GHEA Grapalat" w:cs="Arial"/>
        <w:sz w:val="18"/>
        <w:szCs w:val="18"/>
      </w:rPr>
      <w:t>06.07</w:t>
    </w:r>
    <w:r>
      <w:rPr>
        <w:rFonts w:ascii="GHEA Grapalat" w:hAnsi="GHEA Grapalat" w:cs="Arial"/>
        <w:sz w:val="18"/>
        <w:szCs w:val="18"/>
        <w:lang w:val="ru-RU"/>
      </w:rPr>
      <w:t xml:space="preserve">.2021                                            </w:t>
    </w:r>
    <w:r w:rsidR="008C4F01" w:rsidRPr="00116BF7">
      <w:rPr>
        <w:rFonts w:ascii="Calibri" w:eastAsia="Calibri" w:hAnsi="Calibri" w:cs="Arial"/>
        <w:sz w:val="18"/>
        <w:szCs w:val="18"/>
        <w:lang w:val="nl-NL"/>
      </w:rPr>
      <w:t xml:space="preserve">                                                                                 </w:t>
    </w:r>
    <w:r w:rsidR="008C4F01">
      <w:rPr>
        <w:rFonts w:ascii="Calibri" w:eastAsia="Calibri" w:hAnsi="Calibri" w:cs="Arial"/>
        <w:sz w:val="18"/>
        <w:szCs w:val="18"/>
        <w:lang w:val="nl-NL"/>
      </w:rPr>
      <w:t xml:space="preserve">                           </w:t>
    </w:r>
    <w:r w:rsidR="008C4F01" w:rsidRPr="00116BF7">
      <w:rPr>
        <w:rFonts w:ascii="Calibri" w:eastAsia="Calibri" w:hAnsi="Calibri" w:cs="Arial"/>
        <w:sz w:val="18"/>
        <w:szCs w:val="18"/>
        <w:lang w:val="nl-NL"/>
      </w:rPr>
      <w:t xml:space="preserve">         </w:t>
    </w:r>
    <w:r w:rsidR="001838C9">
      <w:rPr>
        <w:rFonts w:ascii="Calibri" w:eastAsia="Calibri" w:hAnsi="Calibri" w:cs="Arial"/>
        <w:sz w:val="18"/>
        <w:szCs w:val="18"/>
        <w:lang w:val="ru-RU"/>
      </w:rPr>
      <w:t xml:space="preserve">                                                                                    </w: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begin"/>
    </w:r>
    <w:r w:rsidR="008C4F01" w:rsidRPr="00116BF7">
      <w:rPr>
        <w:rFonts w:ascii="Calibri" w:eastAsia="Calibri" w:hAnsi="Calibri" w:cs="Arial"/>
        <w:sz w:val="18"/>
        <w:szCs w:val="18"/>
        <w:lang w:val="nl-NL"/>
      </w:rPr>
      <w:instrText xml:space="preserve"> PAGE </w:instrTex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separate"/>
    </w:r>
    <w:r w:rsidR="00430920">
      <w:rPr>
        <w:rFonts w:ascii="Calibri" w:eastAsia="Calibri" w:hAnsi="Calibri" w:cs="Arial"/>
        <w:noProof/>
        <w:sz w:val="18"/>
        <w:szCs w:val="18"/>
        <w:lang w:val="nl-NL"/>
      </w:rPr>
      <w:t>13</w: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end"/>
    </w:r>
    <w:r w:rsidR="008C4F01" w:rsidRPr="00116BF7">
      <w:rPr>
        <w:rFonts w:ascii="Calibri" w:eastAsia="Calibri" w:hAnsi="Calibri" w:cs="Arial"/>
        <w:sz w:val="18"/>
        <w:szCs w:val="18"/>
        <w:lang w:val="nl-NL"/>
      </w:rPr>
      <w:t>/</w: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begin"/>
    </w:r>
    <w:r w:rsidR="008C4F01" w:rsidRPr="00116BF7">
      <w:rPr>
        <w:rFonts w:ascii="Calibri" w:eastAsia="Calibri" w:hAnsi="Calibri" w:cs="Arial"/>
        <w:sz w:val="18"/>
        <w:szCs w:val="18"/>
        <w:lang w:val="nl-NL"/>
      </w:rPr>
      <w:instrText xml:space="preserve"> NUMPAGES </w:instrTex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separate"/>
    </w:r>
    <w:r w:rsidR="00430920">
      <w:rPr>
        <w:rFonts w:ascii="Calibri" w:eastAsia="Calibri" w:hAnsi="Calibri" w:cs="Arial"/>
        <w:noProof/>
        <w:sz w:val="18"/>
        <w:szCs w:val="18"/>
        <w:lang w:val="nl-NL"/>
      </w:rPr>
      <w:t>13</w: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E1A" w:rsidRDefault="00CE6E1A" w:rsidP="00116BF7">
      <w:pPr>
        <w:spacing w:after="0" w:line="240" w:lineRule="auto"/>
      </w:pPr>
      <w:r>
        <w:separator/>
      </w:r>
    </w:p>
  </w:footnote>
  <w:footnote w:type="continuationSeparator" w:id="0">
    <w:p w:rsidR="00CE6E1A" w:rsidRDefault="00CE6E1A" w:rsidP="0011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01" w:rsidRPr="00972B54" w:rsidRDefault="008C4F01">
    <w:pPr>
      <w:pStyle w:val="Header"/>
      <w:rPr>
        <w:sz w:val="20"/>
        <w:szCs w:val="20"/>
      </w:rPr>
    </w:pPr>
    <w:r w:rsidRPr="00972B5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508D1A0" wp14:editId="4E5ECD67">
              <wp:simplePos x="0" y="0"/>
              <wp:positionH relativeFrom="column">
                <wp:posOffset>-17420</wp:posOffset>
              </wp:positionH>
              <wp:positionV relativeFrom="paragraph">
                <wp:posOffset>201827</wp:posOffset>
              </wp:positionV>
              <wp:extent cx="8888627" cy="0"/>
              <wp:effectExtent l="0" t="19050" r="27305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88627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5.9pt" to="698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" strokeweight="3.75pt">
              <v:stroke linestyle="thinThick"/>
            </v:line>
          </w:pict>
        </mc:Fallback>
      </mc:AlternateContent>
    </w:r>
    <w:r w:rsidRPr="00972B54">
      <w:rPr>
        <w:rFonts w:ascii="GHEA Grapalat" w:hAnsi="GHEA Grapalat"/>
        <w:sz w:val="20"/>
        <w:szCs w:val="20"/>
        <w:lang w:val="en-GB"/>
      </w:rPr>
      <w:t>ARMNAB</w:t>
    </w:r>
    <w:r w:rsidRPr="00972B54">
      <w:rPr>
        <w:rFonts w:ascii="GHEA Grapalat" w:hAnsi="GHEA Grapalat"/>
        <w:sz w:val="20"/>
        <w:szCs w:val="20"/>
        <w:lang w:val="en-GB"/>
      </w:rPr>
      <w:tab/>
      <w:t xml:space="preserve">                                                                   </w:t>
    </w:r>
    <w:r w:rsidR="0005082B">
      <w:rPr>
        <w:rFonts w:ascii="GHEA Grapalat" w:hAnsi="GHEA Grapalat"/>
        <w:sz w:val="20"/>
        <w:szCs w:val="20"/>
        <w:lang w:val="en-GB"/>
      </w:rPr>
      <w:t xml:space="preserve">                                                         </w:t>
    </w:r>
    <w:r w:rsidR="001838C9">
      <w:rPr>
        <w:rFonts w:ascii="GHEA Grapalat" w:hAnsi="GHEA Grapalat"/>
        <w:sz w:val="20"/>
        <w:szCs w:val="20"/>
        <w:lang w:val="ru-RU"/>
      </w:rPr>
      <w:t xml:space="preserve">                                                      </w:t>
    </w:r>
    <w:r w:rsidRPr="00972B54">
      <w:rPr>
        <w:rFonts w:ascii="GHEA Grapalat" w:hAnsi="GHEA Grapalat"/>
        <w:sz w:val="20"/>
        <w:szCs w:val="20"/>
        <w:lang w:val="en-GB"/>
      </w:rPr>
      <w:t xml:space="preserve">  </w:t>
    </w:r>
    <w:r w:rsidR="0005082B">
      <w:rPr>
        <w:rFonts w:ascii="GHEA Grapalat" w:hAnsi="GHEA Grapalat"/>
        <w:lang w:val="en-GB"/>
      </w:rPr>
      <w:t>հավելված  AIB-0</w:t>
    </w:r>
    <w:r w:rsidR="00033961">
      <w:rPr>
        <w:rFonts w:ascii="GHEA Grapalat" w:hAnsi="GHEA Grapalat"/>
        <w:lang w:val="ru-RU"/>
      </w:rPr>
      <w:t>2</w:t>
    </w:r>
    <w:r w:rsidR="0005082B">
      <w:rPr>
        <w:rFonts w:ascii="GHEA Grapalat" w:hAnsi="GHEA Grapalat"/>
        <w:lang w:val="en-GB"/>
      </w:rPr>
      <w:t>-03</w:t>
    </w:r>
    <w:r w:rsidRPr="00972B54">
      <w:rPr>
        <w:rFonts w:ascii="GHEA Grapalat" w:hAnsi="GHEA Grapalat"/>
        <w:sz w:val="20"/>
        <w:szCs w:val="20"/>
        <w:lang w:val="en-GB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148"/>
    <w:multiLevelType w:val="hybridMultilevel"/>
    <w:tmpl w:val="4066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3BDB"/>
    <w:multiLevelType w:val="hybridMultilevel"/>
    <w:tmpl w:val="1A0A796E"/>
    <w:lvl w:ilvl="0" w:tplc="9BEAF7E8">
      <w:start w:val="7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67105"/>
    <w:multiLevelType w:val="hybridMultilevel"/>
    <w:tmpl w:val="90C43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6538A"/>
    <w:multiLevelType w:val="hybridMultilevel"/>
    <w:tmpl w:val="5DE810F0"/>
    <w:lvl w:ilvl="0" w:tplc="9BEAF7E8">
      <w:start w:val="7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AF7E8">
      <w:start w:val="7"/>
      <w:numFmt w:val="bullet"/>
      <w:lvlText w:val="-"/>
      <w:lvlJc w:val="left"/>
      <w:pPr>
        <w:ind w:left="2160" w:hanging="360"/>
      </w:pPr>
      <w:rPr>
        <w:rFonts w:ascii="Sylfaen" w:eastAsia="Times New Roman" w:hAnsi="Sylfaen" w:cs="Sylfae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D43AE"/>
    <w:multiLevelType w:val="hybridMultilevel"/>
    <w:tmpl w:val="401037B4"/>
    <w:lvl w:ilvl="0" w:tplc="E38025C4">
      <w:start w:val="7"/>
      <w:numFmt w:val="bullet"/>
      <w:lvlText w:val="-"/>
      <w:lvlJc w:val="left"/>
      <w:pPr>
        <w:ind w:left="1440" w:hanging="360"/>
      </w:pPr>
      <w:rPr>
        <w:rFonts w:ascii="Arial Armenian" w:eastAsia="Times New Roman" w:hAnsi="Arial Armenian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045F59"/>
    <w:multiLevelType w:val="hybridMultilevel"/>
    <w:tmpl w:val="67E4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E7E3E"/>
    <w:multiLevelType w:val="hybridMultilevel"/>
    <w:tmpl w:val="4432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59FB"/>
    <w:multiLevelType w:val="hybridMultilevel"/>
    <w:tmpl w:val="8ED4C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D0974"/>
    <w:multiLevelType w:val="multilevel"/>
    <w:tmpl w:val="AE740C4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F9B70A3"/>
    <w:multiLevelType w:val="hybridMultilevel"/>
    <w:tmpl w:val="90C43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633CE"/>
    <w:multiLevelType w:val="hybridMultilevel"/>
    <w:tmpl w:val="435EF14E"/>
    <w:lvl w:ilvl="0" w:tplc="E38025C4">
      <w:start w:val="7"/>
      <w:numFmt w:val="bullet"/>
      <w:lvlText w:val="-"/>
      <w:lvlJc w:val="left"/>
      <w:pPr>
        <w:ind w:left="720" w:hanging="360"/>
      </w:pPr>
      <w:rPr>
        <w:rFonts w:ascii="Arial Armenian" w:eastAsia="Times New Roman" w:hAnsi="Arial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30B33"/>
    <w:multiLevelType w:val="hybridMultilevel"/>
    <w:tmpl w:val="60C0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45A69"/>
    <w:multiLevelType w:val="hybridMultilevel"/>
    <w:tmpl w:val="7B9A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61C7C"/>
    <w:multiLevelType w:val="hybridMultilevel"/>
    <w:tmpl w:val="CDC22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43640"/>
    <w:multiLevelType w:val="hybridMultilevel"/>
    <w:tmpl w:val="01CC5CFC"/>
    <w:lvl w:ilvl="0" w:tplc="9BEAF7E8">
      <w:start w:val="7"/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3021AA"/>
    <w:multiLevelType w:val="hybridMultilevel"/>
    <w:tmpl w:val="6F26729A"/>
    <w:lvl w:ilvl="0" w:tplc="9BEAF7E8">
      <w:start w:val="7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D5"/>
    <w:rsid w:val="00006A79"/>
    <w:rsid w:val="00033961"/>
    <w:rsid w:val="0004349E"/>
    <w:rsid w:val="0005082B"/>
    <w:rsid w:val="000A37F6"/>
    <w:rsid w:val="000D08AD"/>
    <w:rsid w:val="00116BF7"/>
    <w:rsid w:val="001838C9"/>
    <w:rsid w:val="001C5EE3"/>
    <w:rsid w:val="001F523E"/>
    <w:rsid w:val="002751EC"/>
    <w:rsid w:val="002D03F8"/>
    <w:rsid w:val="002D6672"/>
    <w:rsid w:val="00307555"/>
    <w:rsid w:val="003404A2"/>
    <w:rsid w:val="003A0BBF"/>
    <w:rsid w:val="003F644D"/>
    <w:rsid w:val="00430920"/>
    <w:rsid w:val="004E1982"/>
    <w:rsid w:val="00512E10"/>
    <w:rsid w:val="00531CBA"/>
    <w:rsid w:val="00552D3D"/>
    <w:rsid w:val="005B5304"/>
    <w:rsid w:val="005D736E"/>
    <w:rsid w:val="005E6DD5"/>
    <w:rsid w:val="006B694B"/>
    <w:rsid w:val="006C76A3"/>
    <w:rsid w:val="007411C8"/>
    <w:rsid w:val="00755F3A"/>
    <w:rsid w:val="007F560E"/>
    <w:rsid w:val="0084642A"/>
    <w:rsid w:val="00867948"/>
    <w:rsid w:val="008C4F01"/>
    <w:rsid w:val="008F2470"/>
    <w:rsid w:val="00941ECD"/>
    <w:rsid w:val="0096148F"/>
    <w:rsid w:val="00972B54"/>
    <w:rsid w:val="009776DE"/>
    <w:rsid w:val="009D569A"/>
    <w:rsid w:val="00A17A48"/>
    <w:rsid w:val="00A36E68"/>
    <w:rsid w:val="00A46079"/>
    <w:rsid w:val="00A75D26"/>
    <w:rsid w:val="00AA6AEC"/>
    <w:rsid w:val="00AB16AA"/>
    <w:rsid w:val="00BB7197"/>
    <w:rsid w:val="00BD0EF4"/>
    <w:rsid w:val="00C1366D"/>
    <w:rsid w:val="00C87464"/>
    <w:rsid w:val="00CC7895"/>
    <w:rsid w:val="00CE6E1A"/>
    <w:rsid w:val="00D04CCE"/>
    <w:rsid w:val="00D46E2A"/>
    <w:rsid w:val="00DA1DB0"/>
    <w:rsid w:val="00E50DA7"/>
    <w:rsid w:val="00E96C06"/>
    <w:rsid w:val="00F35A40"/>
    <w:rsid w:val="00F9074D"/>
    <w:rsid w:val="00FC73B3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DD5"/>
    <w:pPr>
      <w:keepNext/>
      <w:numPr>
        <w:numId w:val="8"/>
      </w:numPr>
      <w:spacing w:before="240" w:after="60" w:line="240" w:lineRule="auto"/>
      <w:outlineLvl w:val="0"/>
    </w:pPr>
    <w:rPr>
      <w:rFonts w:ascii="GHEA Grapalat" w:eastAsia="Times New Roman" w:hAnsi="GHEA Grapalat" w:cs="Times New Roman"/>
      <w:b/>
      <w:bC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DD5"/>
    <w:rPr>
      <w:rFonts w:ascii="GHEA Grapalat" w:eastAsia="Times New Roman" w:hAnsi="GHEA Grapalat" w:cs="Times New Roman"/>
      <w:b/>
      <w:bCs/>
      <w:kern w:val="32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E6DD5"/>
  </w:style>
  <w:style w:type="table" w:styleId="TableGrid">
    <w:name w:val="Table Grid"/>
    <w:basedOn w:val="TableNormal"/>
    <w:uiPriority w:val="59"/>
    <w:rsid w:val="005E6D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D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6D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DD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6D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D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E6DD5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Note">
    <w:name w:val="Note"/>
    <w:basedOn w:val="Default"/>
    <w:next w:val="Default"/>
    <w:uiPriority w:val="99"/>
    <w:rsid w:val="005E6DD5"/>
    <w:rPr>
      <w:rFonts w:ascii="Arial" w:eastAsia="Calibri" w:hAnsi="Arial" w:cs="Arial"/>
      <w:color w:val="auto"/>
    </w:rPr>
  </w:style>
  <w:style w:type="paragraph" w:customStyle="1" w:styleId="Normal1">
    <w:name w:val="Normal1"/>
    <w:basedOn w:val="Normal"/>
    <w:link w:val="normalChar2"/>
    <w:rsid w:val="005E6DD5"/>
    <w:pPr>
      <w:spacing w:after="0" w:line="240" w:lineRule="auto"/>
      <w:ind w:firstLine="720"/>
    </w:pPr>
    <w:rPr>
      <w:rFonts w:ascii="SARM" w:eastAsia="Times New Roman" w:hAnsi="SARM" w:cs="Times New Roman"/>
      <w:noProof/>
      <w:sz w:val="24"/>
      <w:szCs w:val="20"/>
      <w:lang w:val="ru-RU" w:eastAsia="ru-RU"/>
    </w:rPr>
  </w:style>
  <w:style w:type="character" w:customStyle="1" w:styleId="normalChar2">
    <w:name w:val="normal Char2"/>
    <w:link w:val="Normal1"/>
    <w:rsid w:val="005E6DD5"/>
    <w:rPr>
      <w:rFonts w:ascii="SARM" w:eastAsia="Times New Roman" w:hAnsi="SARM" w:cs="Times New Roman"/>
      <w:noProof/>
      <w:sz w:val="24"/>
      <w:szCs w:val="20"/>
      <w:lang w:val="ru-RU" w:eastAsia="ru-RU"/>
    </w:rPr>
  </w:style>
  <w:style w:type="paragraph" w:customStyle="1" w:styleId="Definition">
    <w:name w:val="Definition"/>
    <w:basedOn w:val="Default"/>
    <w:next w:val="Default"/>
    <w:uiPriority w:val="99"/>
    <w:rsid w:val="005E6DD5"/>
    <w:rPr>
      <w:rFonts w:ascii="Arial" w:eastAsia="Calibri" w:hAnsi="Arial" w:cs="Arial"/>
      <w:color w:val="auto"/>
    </w:rPr>
  </w:style>
  <w:style w:type="character" w:styleId="CommentReference">
    <w:name w:val="annotation reference"/>
    <w:semiHidden/>
    <w:unhideWhenUsed/>
    <w:rsid w:val="005E6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DD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E6D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DD5"/>
    <w:pPr>
      <w:keepNext/>
      <w:numPr>
        <w:numId w:val="8"/>
      </w:numPr>
      <w:spacing w:before="240" w:after="60" w:line="240" w:lineRule="auto"/>
      <w:outlineLvl w:val="0"/>
    </w:pPr>
    <w:rPr>
      <w:rFonts w:ascii="GHEA Grapalat" w:eastAsia="Times New Roman" w:hAnsi="GHEA Grapalat" w:cs="Times New Roman"/>
      <w:b/>
      <w:bC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DD5"/>
    <w:rPr>
      <w:rFonts w:ascii="GHEA Grapalat" w:eastAsia="Times New Roman" w:hAnsi="GHEA Grapalat" w:cs="Times New Roman"/>
      <w:b/>
      <w:bCs/>
      <w:kern w:val="32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E6DD5"/>
  </w:style>
  <w:style w:type="table" w:styleId="TableGrid">
    <w:name w:val="Table Grid"/>
    <w:basedOn w:val="TableNormal"/>
    <w:uiPriority w:val="59"/>
    <w:rsid w:val="005E6D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D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6D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DD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6D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D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E6DD5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Note">
    <w:name w:val="Note"/>
    <w:basedOn w:val="Default"/>
    <w:next w:val="Default"/>
    <w:uiPriority w:val="99"/>
    <w:rsid w:val="005E6DD5"/>
    <w:rPr>
      <w:rFonts w:ascii="Arial" w:eastAsia="Calibri" w:hAnsi="Arial" w:cs="Arial"/>
      <w:color w:val="auto"/>
    </w:rPr>
  </w:style>
  <w:style w:type="paragraph" w:customStyle="1" w:styleId="Normal1">
    <w:name w:val="Normal1"/>
    <w:basedOn w:val="Normal"/>
    <w:link w:val="normalChar2"/>
    <w:rsid w:val="005E6DD5"/>
    <w:pPr>
      <w:spacing w:after="0" w:line="240" w:lineRule="auto"/>
      <w:ind w:firstLine="720"/>
    </w:pPr>
    <w:rPr>
      <w:rFonts w:ascii="SARM" w:eastAsia="Times New Roman" w:hAnsi="SARM" w:cs="Times New Roman"/>
      <w:noProof/>
      <w:sz w:val="24"/>
      <w:szCs w:val="20"/>
      <w:lang w:val="ru-RU" w:eastAsia="ru-RU"/>
    </w:rPr>
  </w:style>
  <w:style w:type="character" w:customStyle="1" w:styleId="normalChar2">
    <w:name w:val="normal Char2"/>
    <w:link w:val="Normal1"/>
    <w:rsid w:val="005E6DD5"/>
    <w:rPr>
      <w:rFonts w:ascii="SARM" w:eastAsia="Times New Roman" w:hAnsi="SARM" w:cs="Times New Roman"/>
      <w:noProof/>
      <w:sz w:val="24"/>
      <w:szCs w:val="20"/>
      <w:lang w:val="ru-RU" w:eastAsia="ru-RU"/>
    </w:rPr>
  </w:style>
  <w:style w:type="paragraph" w:customStyle="1" w:styleId="Definition">
    <w:name w:val="Definition"/>
    <w:basedOn w:val="Default"/>
    <w:next w:val="Default"/>
    <w:uiPriority w:val="99"/>
    <w:rsid w:val="005E6DD5"/>
    <w:rPr>
      <w:rFonts w:ascii="Arial" w:eastAsia="Calibri" w:hAnsi="Arial" w:cs="Arial"/>
      <w:color w:val="auto"/>
    </w:rPr>
  </w:style>
  <w:style w:type="character" w:styleId="CommentReference">
    <w:name w:val="annotation reference"/>
    <w:semiHidden/>
    <w:unhideWhenUsed/>
    <w:rsid w:val="005E6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DD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E6D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8F6EC-C049-495E-A240-A23C8AC3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45</cp:revision>
  <cp:lastPrinted>2021-07-07T05:07:00Z</cp:lastPrinted>
  <dcterms:created xsi:type="dcterms:W3CDTF">2013-10-04T11:55:00Z</dcterms:created>
  <dcterms:modified xsi:type="dcterms:W3CDTF">2021-07-07T05:07:00Z</dcterms:modified>
</cp:coreProperties>
</file>