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635"/>
        <w:tblW w:w="142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840"/>
        <w:gridCol w:w="2055"/>
        <w:gridCol w:w="4110"/>
      </w:tblGrid>
      <w:tr w:rsidR="001838C9" w:rsidRPr="005E6DD5" w:rsidTr="00146B2E">
        <w:trPr>
          <w:trHeight w:val="960"/>
        </w:trPr>
        <w:tc>
          <w:tcPr>
            <w:tcW w:w="14283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1838C9" w:rsidRDefault="001838C9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2D03F8">
              <w:rPr>
                <w:rFonts w:ascii="GHEA Grapalat" w:eastAsia="Calibri" w:hAnsi="GHEA Grapalat" w:cs="Times New Roman"/>
                <w:b/>
              </w:rPr>
              <w:t>(Համապատասխանության գնահատման մարմնի</w:t>
            </w:r>
            <w:r>
              <w:rPr>
                <w:rFonts w:ascii="GHEA Grapalat" w:eastAsia="Calibri" w:hAnsi="GHEA Grapalat" w:cs="Times New Roman"/>
                <w:b/>
                <w:lang w:val="ru-RU"/>
              </w:rPr>
              <w:t xml:space="preserve"> (ՀԳՄ)</w:t>
            </w:r>
            <w:r w:rsidRPr="002D03F8">
              <w:rPr>
                <w:rFonts w:ascii="GHEA Grapalat" w:eastAsia="Calibri" w:hAnsi="GHEA Grapalat" w:cs="Times New Roman"/>
                <w:b/>
              </w:rPr>
              <w:t xml:space="preserve"> անվանումը)</w:t>
            </w:r>
          </w:p>
          <w:p w:rsid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  <w:p w:rsidR="001838C9" w:rsidRDefault="001838C9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E96C0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ՀԱՐՑԱԹԵՐԹ</w:t>
            </w:r>
          </w:p>
          <w:p w:rsidR="001838C9" w:rsidRPr="002D03F8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1838C9" w:rsidRPr="005E6DD5" w:rsidTr="001838C9">
        <w:trPr>
          <w:trHeight w:val="1233"/>
        </w:trPr>
        <w:tc>
          <w:tcPr>
            <w:tcW w:w="1278" w:type="dxa"/>
            <w:shd w:val="clear" w:color="auto" w:fill="auto"/>
          </w:tcPr>
          <w:p w:rsidR="001838C9" w:rsidRPr="002D03F8" w:rsidRDefault="001838C9" w:rsidP="001838C9">
            <w:pPr>
              <w:spacing w:after="0" w:line="240" w:lineRule="auto"/>
              <w:ind w:right="-115"/>
              <w:jc w:val="center"/>
              <w:rPr>
                <w:rFonts w:ascii="GHEA Grapalat" w:eastAsia="Calibri" w:hAnsi="GHEA Grapalat" w:cs="Times New Roman"/>
                <w:b/>
                <w:color w:val="C6D9F1"/>
              </w:rPr>
            </w:pPr>
            <w:r w:rsidRPr="002D03F8">
              <w:rPr>
                <w:b/>
              </w:rPr>
              <w:br w:type="page"/>
            </w:r>
            <w:r w:rsidRPr="002D6672">
              <w:rPr>
                <w:rFonts w:ascii="GHEA Grapalat" w:hAnsi="GHEA Grapalat"/>
                <w:b/>
              </w:rPr>
              <w:t>ՀՍՏ ԻՍՕ</w:t>
            </w:r>
            <w:r>
              <w:rPr>
                <w:rFonts w:ascii="GHEA Grapalat" w:hAnsi="GHEA Grapalat"/>
                <w:b/>
              </w:rPr>
              <w:t>/ԻԷԿ 17020-2013 ստանդար</w:t>
            </w:r>
            <w:r>
              <w:rPr>
                <w:rFonts w:ascii="GHEA Grapalat" w:hAnsi="GHEA Grapalat"/>
                <w:b/>
              </w:rPr>
              <w:softHyphen/>
              <w:t>տի կետը</w:t>
            </w:r>
          </w:p>
        </w:tc>
        <w:tc>
          <w:tcPr>
            <w:tcW w:w="6840" w:type="dxa"/>
            <w:tcBorders>
              <w:right w:val="single" w:sz="12" w:space="0" w:color="auto"/>
            </w:tcBorders>
            <w:shd w:val="clear" w:color="auto" w:fill="auto"/>
          </w:tcPr>
          <w:p w:rsidR="001838C9" w:rsidRPr="002D6672" w:rsidRDefault="001838C9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C6D9F1"/>
              </w:rPr>
            </w:pPr>
            <w:r w:rsidRPr="002D6672">
              <w:rPr>
                <w:rFonts w:ascii="GHEA Grapalat" w:eastAsia="Calibri" w:hAnsi="GHEA Grapalat" w:cs="Times New Roman"/>
                <w:b/>
              </w:rPr>
              <w:t>Բովանդակությունը</w:t>
            </w:r>
          </w:p>
        </w:tc>
        <w:tc>
          <w:tcPr>
            <w:tcW w:w="20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38C9" w:rsidRPr="006F6161" w:rsidRDefault="001838C9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F6161">
              <w:rPr>
                <w:rFonts w:ascii="GHEA Grapalat" w:hAnsi="GHEA Grapalat"/>
                <w:b/>
                <w:sz w:val="20"/>
                <w:szCs w:val="20"/>
              </w:rPr>
              <w:t>Որտեղ է վկայակոչված</w:t>
            </w:r>
          </w:p>
          <w:p w:rsidR="001838C9" w:rsidRDefault="001838C9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6F6161">
              <w:rPr>
                <w:rFonts w:ascii="GHEA Grapalat" w:hAnsi="GHEA Grapalat"/>
                <w:b/>
                <w:sz w:val="20"/>
                <w:szCs w:val="20"/>
              </w:rPr>
              <w:t>Փաստաթղթի անվանումը, կետը</w:t>
            </w:r>
            <w:r w:rsidRPr="0093411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1838C9" w:rsidRPr="006F6161" w:rsidRDefault="001838C9" w:rsidP="00CA27C2">
            <w:pPr>
              <w:jc w:val="center"/>
              <w:rPr>
                <w:rFonts w:ascii="GHEA Grapalat" w:hAnsi="GHEA Grapalat"/>
                <w:b/>
                <w:color w:val="C6D9F1"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(լրացվում է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ՀԳՄ-ի</w:t>
            </w: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 կողմից)</w:t>
            </w:r>
          </w:p>
        </w:tc>
        <w:tc>
          <w:tcPr>
            <w:tcW w:w="4110" w:type="dxa"/>
            <w:tcBorders>
              <w:left w:val="single" w:sz="12" w:space="0" w:color="auto"/>
              <w:right w:val="single" w:sz="12" w:space="0" w:color="auto"/>
            </w:tcBorders>
          </w:tcPr>
          <w:p w:rsidR="001838C9" w:rsidRPr="00934112" w:rsidRDefault="001838C9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20"/>
                <w:szCs w:val="20"/>
              </w:rPr>
              <w:t>Գրառումներ, մեկ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ն</w:t>
            </w:r>
            <w:r w:rsidRPr="00934112">
              <w:rPr>
                <w:rFonts w:ascii="GHEA Grapalat" w:hAnsi="GHEA Grapalat"/>
                <w:b/>
                <w:sz w:val="20"/>
                <w:szCs w:val="20"/>
              </w:rPr>
              <w:t>աբանություններ</w:t>
            </w:r>
          </w:p>
          <w:p w:rsidR="001838C9" w:rsidRPr="00934112" w:rsidRDefault="001838C9" w:rsidP="00CA27C2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(լրացվում է </w:t>
            </w:r>
            <w:r w:rsidR="00552D3D">
              <w:rPr>
                <w:rFonts w:ascii="GHEA Grapalat" w:hAnsi="GHEA Grapalat"/>
                <w:b/>
                <w:sz w:val="16"/>
                <w:szCs w:val="16"/>
                <w:lang w:val="ru-RU"/>
              </w:rPr>
              <w:t>հավատարմագրման</w:t>
            </w:r>
            <w:r w:rsidR="00552D3D" w:rsidRPr="0084642A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փորձագետի (</w:t>
            </w:r>
            <w:r w:rsidRPr="00934112">
              <w:rPr>
                <w:rFonts w:ascii="GHEA Grapalat" w:hAnsi="GHEA Grapalat"/>
                <w:b/>
                <w:sz w:val="16"/>
                <w:szCs w:val="16"/>
              </w:rPr>
              <w:t>գնահատողի</w:t>
            </w:r>
            <w:r>
              <w:rPr>
                <w:rFonts w:ascii="GHEA Grapalat" w:hAnsi="GHEA Grapalat"/>
                <w:b/>
                <w:sz w:val="16"/>
                <w:szCs w:val="16"/>
              </w:rPr>
              <w:t>)</w:t>
            </w: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 կողմից)</w:t>
            </w:r>
          </w:p>
        </w:tc>
      </w:tr>
      <w:tr w:rsidR="001838C9" w:rsidRPr="005E6DD5" w:rsidTr="001838C9">
        <w:trPr>
          <w:trHeight w:val="295"/>
        </w:trPr>
        <w:tc>
          <w:tcPr>
            <w:tcW w:w="1278" w:type="dxa"/>
          </w:tcPr>
          <w:p w:rsidR="001838C9" w:rsidRPr="002D03F8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2D03F8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1838C9" w:rsidRPr="002D03F8" w:rsidRDefault="001838C9" w:rsidP="002D03F8">
            <w:pPr>
              <w:rPr>
                <w:rFonts w:ascii="Sylfaen" w:eastAsia="Calibri" w:hAnsi="Sylfaen" w:cs="Times New Roman"/>
                <w:sz w:val="24"/>
                <w:szCs w:val="24"/>
              </w:rPr>
            </w:pPr>
            <w:r w:rsidRPr="002D03F8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Ընդհանուր պահանջներ</w:t>
            </w:r>
          </w:p>
        </w:tc>
        <w:tc>
          <w:tcPr>
            <w:tcW w:w="2055" w:type="dxa"/>
          </w:tcPr>
          <w:p w:rsidR="001838C9" w:rsidRPr="002D03F8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838C9" w:rsidRPr="002D03F8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1838C9" w:rsidRPr="005E6DD5" w:rsidTr="001838C9">
        <w:trPr>
          <w:trHeight w:val="295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4.1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</w:rPr>
            </w:pPr>
            <w:bookmarkStart w:id="0" w:name="_Toc343527812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Անաչառություն և անկախություն</w:t>
            </w:r>
            <w:bookmarkEnd w:id="0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39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</w:rPr>
              <w:t>Հսկողության աշխատանքները պետք է կատարվեն</w:t>
            </w: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</w:rPr>
              <w:t xml:space="preserve">անաչառորեն: </w:t>
            </w:r>
            <w:r w:rsidRPr="005E6DD5">
              <w:rPr>
                <w:rFonts w:ascii="GHEA Grapalat" w:eastAsia="Calibri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295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սկողություն իրականացնող մարմինը պետք է պատասխանտու լինի իր հսկողության գործունեության անաչառության համար և չպետք է թույլատրի, որ առևտրային, ֆինանսական կամ այլ ճնշումները վտանգեն անաչառությունը: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295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  <w:t>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սկողություն իրականացնող մարմինը պետք է շարունակաբար բացահայտի անաչառությունը վտանգող ռիսկերը: Դա պետք ընդգրկի այն ռիսկերը, որոնք ծագում են այդ մարմնի գործունեությունից կամ փոխհարաբերություններից, կամ այդ մարմնի անձնակազմի փոխհարաբերություններից: Այնուամենայնիվ, այդ փոխհարաբերություններն անհրաժեշտաբար չեն ենթադրում, որ հսկողություն իրականացնող մարմնի գործունեության անաչառությունը վտանգված է: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449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Եթե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բացահայտվել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է անաչառության հետ կապված ռիսկը, ապա հսկողություն իրականացնող մարմինը պետք է ունակ լինի ցուցադրել, թե ինչպես է այն վերացնում կամ նվազագույնի հասցնում նման ռիսկը: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1838C9" w:rsidRPr="005E6DD5" w:rsidTr="001838C9">
        <w:trPr>
          <w:trHeight w:val="39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ղեկավարությունը պետք է ստանձնած լինի անաչառության ապահովման պարտավորությունը: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1226"/>
        </w:trPr>
        <w:tc>
          <w:tcPr>
            <w:tcW w:w="1278" w:type="dxa"/>
            <w:vMerge w:val="restart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4.1.6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  <w:t>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բավականաչափ անկախ լինի` իր ծառայությունների իրականացման պահանջվող պայմաններին բավարարելու համար: Այդ պայաններից կախված, այն պետք է բավարարի Հավելված Ա-ում նախատեսված նվազագույն պահանջներին` ինչպես նկարագրված է ստորև: 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640"/>
        </w:trPr>
        <w:tc>
          <w:tcPr>
            <w:tcW w:w="1278" w:type="dxa"/>
            <w:vMerge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ա)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Երրորդ կողմի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իրականացնող մարմինը պետք է բավարարի Կետ Ա.1-ում բերված Ա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տեսակին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ներկայացվող պահանջներին (երրորդ կողմի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մարմին):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2472"/>
        </w:trPr>
        <w:tc>
          <w:tcPr>
            <w:tcW w:w="1278" w:type="dxa"/>
            <w:vMerge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բ)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Առաջին կողմի, երկրորդ կողմի կամ առաջին և երկրորդ կողմերի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ներ իրականացնող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մարմինը, որը կազմում է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առարկաների նախագծման, արտադրության, մատակարարման, տեղակայման, օգտագործման կամ սպասարկման մեջ ներգրավված կազմակերպության առանձին և ճանաչելի մասը, և որը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յան ծառայություններ է մատուցում միայն իր մայր կազմակերպությանը (ներքին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մարմին), պետք է բավարարի Կետ Ա.2-ում բերված Բ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ին ներկայացվող պահանջներին: 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2581"/>
        </w:trPr>
        <w:tc>
          <w:tcPr>
            <w:tcW w:w="1278" w:type="dxa"/>
            <w:vMerge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գ)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Առաջին կողմի, երկրորդ կողմի կամ առաջին և երկրորդ կողմերի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ներ իրականացնող մարմինը, որը կազմում է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առարկաների նախագծման, արտադրության, մատակարարման, տեղակայման, օգտագործման կամ սպասարկման մեջ ներգրավված կազմակերպության ճանաչելի, բայց ոչ անհրաժեշտաբար առանձին մասը, և որը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ծառայություններ է մատուցում իր մայր կազմակերպությանը և/կամ այլ կողմերին, պետք է բավարարի Կետ Ա.3-ում բերված Գ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տեսակին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ներկայացվող պահանջներին: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4.2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1" w:name="_Toc343527813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Գաղտնիություն</w:t>
            </w:r>
            <w:bookmarkEnd w:id="1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39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4.2.1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Օրենսդրորեն սահմանված պարտավորությունների համաձայն, 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պատասխանատու լինի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աշխատանքների իրականացման ընթացքում ձեռքբերված կամ ձևավորված տեղեկատվության կառավարման համար: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հաճախորդին նախօրոք տեղեկացնի այն տեղեկատվության մասին, որը նա մտադիր է մատչելի դարձնել հանրության համար: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lastRenderedPageBreak/>
              <w:t xml:space="preserve">Բացառությամբ այն տեղեկատվությունից, որը հաճախորդը հանրորեն մատչելի է դարձնում, կամ որի վերաբերյալ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մարմնի և հաճախորդի միջև ձեռք է բերվել պայմանավորվածություն (օրինակ` գանգատներին պատասխանելու նպատակով), մյուս բոլոր տեղեկությունները համարվում են մասնավոր տեղեկատվություն և պետք է դիտվեն որպես գաղտնի տեղեկատվություն: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4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4.2.2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օրենքով կամ պայմանագրային պարտավորություններով պարտավոր է հրապարակել գաղտնի տեղեկատվություն, ապա համապատասխան հաճախորդը կամ ֆիզիկական անձը պետք է ծանուցվեն տրամադրվող տեղեկատվության վերաբերյալ, եթե օրենքով դա չի արգելվում: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4.2.3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Բացի հաճախորդից, այլ աղբյուրներից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(օրինակ` գանգատողից, կարգավորողներից) 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աճախորդի մասին ձեռքբերված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տեղեկատվությունը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 պետք է համարվի գաղտնի: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Կառուցվածքային պահանջներ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4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5.1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before="120"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</w:rPr>
            </w:pPr>
            <w:bookmarkStart w:id="2" w:name="_Toc343527815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</w:rPr>
              <w:t>Վարչական պահանջներ</w:t>
            </w:r>
            <w:bookmarkEnd w:id="2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 xml:space="preserve"> մարմինը պետք է լինի իրավաբանական անձ կամ իրավաբանական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անձի առանձնացված ստորաբաժանում, այնպես, որ այն կարողանա օրենքով պատասխանատվություն կրել իր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հսկողության բոլոր աշխատանքների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համար: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632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հանդիսանում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ունից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բացի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մեջ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ներգրավված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իրավաբանական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ճանաչելի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ներսում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560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որոնցով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իրազեկությանը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վերապահված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295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ապահովվածություն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օրինակ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ապահովագրություն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պահուստներ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ծագող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պարտավորությունները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ծածկելու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449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փաստաթղթեր, որոնք նկարագրում են այն պայմանագրային պայմանները, որոնցով այն իրականացնում է հսկողությունը, բացառությամբ երբ այն հսկողության ծառայություններ է մատուցում իրավաբանական անձին, որի մասն է կազմում այն: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1838C9" w:rsidRPr="005E6DD5" w:rsidTr="001838C9">
        <w:trPr>
          <w:trHeight w:val="39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5.2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before="120"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3" w:name="_Toc343527816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Կազմակերպումը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կառավարում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>ը</w:t>
            </w:r>
            <w:bookmarkEnd w:id="3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կառուցվածքը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անաչառությունը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որպեսզի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ընձեռվի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ունակությունը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կառուցվածքը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իրավաբանական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փոխկապվածությունը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1838C9" w:rsidRPr="005E6DD5" w:rsidTr="001838C9">
        <w:trPr>
          <w:trHeight w:val="39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ունենա մեկ կամ մի քանի անձ(ինք)` տեխնիկական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ղեկավար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(ներ), ովքեր ամբողջապես պատասխանատու կլինեն` սույն ստանդարտին համապատասխան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գործունեության իրականացումն երաշխավորելու համար: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մարմնում պետք է նշանակվի մեկ կամ ավելի անձ(ինք), ով կփոխարինի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ընթացիկ գործունեության համար պատասխանատու ցանկացած տեխնիկական կառավարչին` նրա բացակայության ընթացքում: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7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գործունեության մեջ ներգրավված իր յուրաքանչյուր կազմակերպության յուրաքանչյուր պաշտոնի տեսակի համար սահմանված աշխատանքի նկարագրությունը կամ այլ փաստաթուղթ: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39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</w:pPr>
            <w:bookmarkStart w:id="4" w:name="_Toc343527817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Ռեսուրսներին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>ր</w:t>
            </w:r>
            <w:bookmarkEnd w:id="4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5" w:name="_Toc343527818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Անձնակազ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մ</w:t>
            </w:r>
            <w:bookmarkEnd w:id="5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և փաստաթղթավորի իրազեկության պահանջները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աշխատանքներում ներգրավված ողջ անձնակազմի համար, ներառյալ` կրթության, վերապատրաստման, տեխնիկական գիտելիքի, հմտությունների և փորձի պահանջները: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Հսկողություն իրականացնող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մարմինը պետք է վարձի կամ պայմանագրեր կնքի բավարար թվով անձանց հետ, ովքեր ունեն պահանջվող իրազեկություն, այդ թվում, անհրաժեշտության դեպքում` մասնագիտական դատողություններ կատարելու, այդ մարմնին վերապահված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ան գործունեության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տեսակին,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ոլորտին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և ծավալին համապատասխան կարողություններ: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rPr>
          <w:trHeight w:val="416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6.1.3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հսկողությանը հ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որակավորումներ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վերապատրաստում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փորձառություն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- հսկվող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տեխնոլոգիայի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-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եղանակի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-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խոտանների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խափանումների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թերությունների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Նրանք պետք է հասկանան արտադրանքի օգտագործման, գործընթացների իրականացման և ծառայությունների մատուցման կանոնավոր ցուցանիշների նկատմամբ հայտնաբերված շեղումների նշանակությունը: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rPr>
          <w:trHeight w:val="449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յուրաքանչյուր անձի համար պետք է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հստակ դարձնի 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պարտականությունները, պատասխանատվությունները և լիազորությունները: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ընթացակարգեր` տեսուչների և 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հսկողության աշխատանք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ներում ներգրավված այլ անձնակազմի ընտրության, վերապատրաստման, պաշտոնապես լիազորման և մոնիտորինգի համար: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rPr>
          <w:trHeight w:val="449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6.1.6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Հսկողության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փաստաթղթավորված ընթացակարգերը (տես` 6.1.5) պետք է ուղղված լինեն հետևյալ փուլերին. </w:t>
            </w:r>
          </w:p>
          <w:p w:rsidR="001838C9" w:rsidRPr="005E6DD5" w:rsidRDefault="001838C9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պարտականություններին ծանոթանալու շրջան,</w:t>
            </w:r>
          </w:p>
          <w:p w:rsidR="001838C9" w:rsidRPr="005E6DD5" w:rsidRDefault="001838C9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փորձառու տեսուչների հետ ուղղորդվող աշխատանքի շրջան,</w:t>
            </w:r>
          </w:p>
          <w:p w:rsidR="001838C9" w:rsidRPr="005E6DD5" w:rsidRDefault="001838C9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շարունակական վերապատրաստում` տեխնոլոգիաների և հսկողության մեթոդների զարգացմանը համընթաց գիտելիքները զարգացնելու համար: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6.1.7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Պահանջվող վերապատրաստումը պետք է կախված լինի յուրաքանչյուր տեսուչի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գործունեության մեջ ներգրավված այլ անձնակազմի ունակությունից, որակավորումներից և փորձից, ինչպես նաև` մոնիտորինգի արդյունքներից (տես` 6.1.8-ը):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39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6.1.8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Հսկողության մեթոդներին և ընթացակարգերին ծանոթ անձնակազմը պետք է բոլոր տեսուչների և հսկողության աշխատանքներու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մ ներգրավված այլ անձնակազմի աշխատանքի մշտադիտարկման միջոցով ապահովի նրանց բավարար կատարողականը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: Մշտադիտարկման արդյունքները պետք է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lastRenderedPageBreak/>
              <w:t xml:space="preserve">օգտագործվեն վերապատրաստման կարիքների գնահատման համար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(տես 6.1.7-ը):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6.1.9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Յուրաքանչյուր տեսուչ պետք է ենթարկվի գործնական դիտարկման, եթե չկան բավականաչափ հաստատող ապացույցներ, որ տեսուչի մասնագիտական հմտությունները պահպանվում են: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6.1.10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պահպանի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աշխատանքներում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ներգրավված իր անձնակազմի յուրաքանչյուր անդամի աշխատանքի մշտադիտարկման, կրթության, վերապատրաստման, տեխնիկական գիտելիքների, հմտությունների, փորձի և լիազորությունների մասին գրառումները: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աշխատանքներում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ներգրավված անձնակազմը չպետք է վարձատրվի այնպես, որ դա ազդի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արդյունքների վրա: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ողջ անձնակազմը, թե՛ ներքին և թե՛ արտաքին, որը կարող է ազդել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վրա, պետք է գործի անաչառորեն: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ողջ անձնակազմը, այդ թվում` ենթակապալառուները, արտաքին մարմինների անձնակազմը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անունից գործող ֆիզիկական անձինք, պետք է գաղտնի պահեն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գործունեության իրականացման ընթացքում ձեռքբերված կամ ձևավորված ողջ տեղեկատվությունը, բացառությամբ օրենքով նախատեսված դեպքերից: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Սարքավորումներ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հարմարանքներ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ունենա մատչելի, կիրառելի և համապատասխան սարքավորումներ և հարմարանքներ, որոնք թույլ են տալիս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գործունեության հետ կապված բոլոր աշխատանքները կատարել իրազեկ և անվտանգ ձևով: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394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սահմանված կանոններ`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իրականացման նպատակով որոշակի սարքավորումների և հարմարանքների ձեռքբերման և օգտագործման համար: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երաշխավորի 6.2.1-ում նշված սարքավորումների և հարմարանքների նպատակային օգտագործման համար շարունակական պիտանելիությունը: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Բոլոր սարքավորումները, որոնք զգալի ազդեցություն ունեն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վրա, պետք է սահմանվեն և, անհրաժեշտության դեպքում, առանձնակի նույնականացվեն: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Բոլոր սարքավորումները (տես` 6.2.4) պետք է պահպանվեն`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փաստաթղթավորված ընթացակարգերի և հրահանգների համաձայն: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Անհրաժեշտության դեպքում,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վրա զգալի ազդեցություն ունեցող չափող սարքավորումները պետք է նախքան շահագործելը տրամաչափարկվեն, իսկ հետագայում` տրամաչափարկվեն սահմանված ծրագրի համաձայն: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7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Սարքավորումների տրամաչափարկման ընդհանուր ծրագիրը պետք է կազմվի և իրականացվի այնպես, որպեսզի երաշխավորվի, որ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կողմից կատարված չափումները հնարավորինս համադրելի են ազգային և միջազգային չափանմուշներին, եթե կան այդպիսիք: Եթե ազգային և միջազգային չափանմուշների հետ համադրումը հնարավոր չէ, ապա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պահպանի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կորելյացիոն կամ ճշտգրտության փաստարկները: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8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կողմից իրականացվող չափումների չափանմուշները պետք է օգտագործվեն միայն տրամաչափարկման և ոչ մի այլ նպատակներով: Չափանմուշները պետք է տրամաչափարկվեն` ապահովելով ազգային կամ միջազգային չափանմուշների հետ համադրելիությունը: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416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9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>Համապատասխան դեպքերում,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պետ ք է իրականացնել շահագործման մեջ գտնվող սարքի տեխնիկական սպասարկում`</w:t>
            </w:r>
          </w:p>
          <w:p w:rsidR="001838C9" w:rsidRPr="005E6DD5" w:rsidRDefault="001838C9" w:rsidP="002D03F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պարբերական տրամաչափարկումների միջև ընկած ժամանակաշրջանում: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10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Չափանմուշ նյութերը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 հնարավորության դեպքում, պետք է համադրելի լինեն ազգային կամ միջազգային չափանմուշ նյութերի հետ, եթե կան այդպիսիք: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Մուտքային հ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սկողության գործունեության արդյունքների համար անհրաժեշտության դեպքում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հսկողության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սահմանի հետևյալ ընթացակարգերը`</w:t>
            </w:r>
          </w:p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ա) մատակարարների ընտրությունը և հաստատումը,</w:t>
            </w:r>
          </w:p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բ) ստացվող ապրանքների և ծառայությունների համապատասխանության ստուգումը,</w:t>
            </w:r>
          </w:p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12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գ) համապատասխան պահեստավորման հարմարությունների երաշխավորումը: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Անհրաժեշտության դեպքում պահեստավորված առարկաների վիճակը պետք է գնահատվի համապատասխան պարբերականությամբ` վատթարացումը հայտնաբերելու նպատակով: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Եթե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ստուգումների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համար օգտագործում է համակարգիչներ կամ ավտոմատացված սարքավորումներ,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lastRenderedPageBreak/>
              <w:t xml:space="preserve">ապա այն պետք է ապահովի, որ. </w:t>
            </w:r>
          </w:p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ա) համակարգչային ծրագրերը պիտանի են օգտագործման համար, </w:t>
            </w:r>
          </w:p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բ) սահմանված են և գործում են ընթացակարգեր` տվյալների ամբողջականությունը և անվտանգությունը պաշտպանելու համար, </w:t>
            </w:r>
          </w:p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  <w:t>գ) համակարգիչը և ավտոմատացված սարքավորումները պահպանվում են այնպես, որպեսզի երաշխավորվի դրանց պատշաճ աշխատանքը: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ընթացակարգեր` անսարք սարքավորումների համար: Անսարք սարքավորումները պետք է հանվեն ծառայությունից` առանձնացվելով, տեսանելի պիտակավորմամբ կամ մակնշմամբ: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ուսումնասիրի անսարքության ազդեցությունը նախկին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վրա և, անհրաժեշտության դեպքում, ձեռնարկի համապատասխան ուղղիչ գործողություն: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Սարքավորմանը, այդ թվում` ծրագրային ապահովմանը վերաբերող տեղեկությունները պետք է գրանցվեն: Տեղեկությունները պետք է ներառեն բնութագրերի նկարագրությունը և, համապատասխան դեպքերում`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տրամաչափարկման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ու սպասարկման մասին տվյալները: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Ենթակապալ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Սովորաբար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պարտավորություն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ստանձնել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կնքում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կարողանա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ցուցադրել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ենթակապալառուն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իրազեկ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խնդրո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որտեղ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համապաատասխանում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նախատեսված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գնահատմանն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578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հաճախորդին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տեղեկացնի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կնքելու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մտադրության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ենթակապալառուները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գրանցի և պահպանի ենթակապալառուների իրազեկության և սույն ստանդարտի կամ համապատասխանության գնահատման ոլորտի այլ ստանդարտների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պահանջներին համապատասխանության մասին իր ուսումնասիրության տվյալները: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վարի բոլոր ենթակապալառուների գրանցամատյան: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</w:pPr>
            <w:bookmarkStart w:id="6" w:name="_Toc343527821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Գործընթացին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>ր</w:t>
            </w:r>
            <w:bookmarkEnd w:id="6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 xml:space="preserve"> 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7" w:name="_Toc343527822"/>
            <w:r w:rsidRPr="005E6DD5">
              <w:rPr>
                <w:rFonts w:ascii="GHEA Grapalat" w:eastAsia="Times New Roman" w:hAnsi="GHEA Grapalat" w:cs="Sylfaen"/>
                <w:b/>
                <w:bCs/>
                <w:color w:val="000000"/>
                <w:kern w:val="32"/>
                <w:sz w:val="24"/>
                <w:szCs w:val="24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մեթոդներ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ընթացակարգե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ր</w:t>
            </w:r>
            <w:bookmarkEnd w:id="7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autoSpaceDE w:val="0"/>
              <w:autoSpaceDN w:val="0"/>
              <w:adjustRightInd w:val="0"/>
              <w:spacing w:after="12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օգտագործի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այնպիսի մեթոդներ և ընթացակարգեր, որոնք սահմանված են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համար նախատեսված պահանջներում: Եթե դրանք սահմանված չեն, ապա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մշակի կիրառման ենթակա կոնկրետ մեթոդներ և ընթացակարգեր (տես` 7.1.3-ը): Եթե հաճախորդի կողմից առաջարկված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մեթոդը կիրառելի չէ, ապա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տեղեկացնի հաճախորդին այդ մասին: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պլանավորման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նմուշառման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մինչդեռ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բացակայությունը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վտանգել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վիճակագրական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վիճակագրորեն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ողջամիտ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նմուշառման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ճիշտ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վերամշակումը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մեկնաբանությունը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լիարժեքորեն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աշխատանքին առնչվող բոլոր հրահանգները, ստանդարտները կամ գրավոր ընթացակարգերը, աշխատանքային աղյուսակները, ստուգաթերթերը և հիմքային տվյալները պետք է պահպանվեն վերջնական թարմացված տեսքով և միշտ մատչելի լինեն անձնակազմի համար: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պայմանագրերի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պատկանում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փորձառության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lastRenderedPageBreak/>
              <w:t>շրջանակներին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կազմակերպությունն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ռեսուրսներ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.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կարիքն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ունեցող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ներկայացվող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համապատասխանաբար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հատուկ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հասկանալի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պարտականությունները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հստակ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ձևակերպված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միանշանակ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ձ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եռնարկվող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պարբերական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միջոցով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պ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այմանագրի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7.1.6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Երբ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օգտագործում է հսկողության գործընթացի մաս կազմող այլ աղբյուրից ստացված տեղեկատվությունը, ապա այն պետք է ստուգի այդ տեղեկատվության ամբողջականությունը: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7.1.7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Դիտարկումների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ձեռքբերված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տեղեկատվության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կորուստը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7.1.8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Հաշվարկները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փոխանցումները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ստուգումների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7.1.9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հրահանգներ`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 անվտանգ ձևով իրականացնելու համար: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120"/>
              <w:ind w:left="-11" w:right="-312" w:hanging="18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8" w:name="_Toc343527823"/>
            <w:r w:rsidRPr="005E6DD5">
              <w:rPr>
                <w:rFonts w:ascii="Sylfaen" w:eastAsia="Times New Roman" w:hAnsi="Sylfaen" w:cs="Sylfaen"/>
                <w:b/>
                <w:bCs/>
                <w:kern w:val="32"/>
                <w:sz w:val="24"/>
                <w:szCs w:val="24"/>
              </w:rPr>
              <w:t xml:space="preserve"> 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Հսկողության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առարկաների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նմուշների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գործածում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>ը</w:t>
            </w:r>
            <w:bookmarkEnd w:id="8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ապահովի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ենթակա առարկաների և նմուշների միանշանակ բնութագրումը, որպեսզի զերծ մնա այդ առարկաների և նմուշների նույնականության հետ կապված խառնաշփոթից: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որոշի, թե արդյոք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ենթակա առարկան նախապատրաստվել է: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Տեսուչի կողմից նկատված կամ նրան տեղեկացված 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անկացած առանձին արտասովոր երևույթ պետք է գրանցվի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: Եթե առկա է որևէ կասկած` կապված իրականացվելիք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համար առարկայի պիտանելիության հետ, կամ եթե առարկան չի համապատասխանում տրամադրված նկարագրությանը, ապա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քննարկի խնդիրը հաճախորդի հետ: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 և համապատասխան պայմաններ, որպեսզի զերծ մնա իր պատասխանատվության տակ գտնվող ստուգման ենթակա առարկաների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փչանալուց կամ վնասվելուց: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7.3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bookmarkStart w:id="9" w:name="_Toc343527824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գրառումներ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ը</w:t>
            </w:r>
            <w:bookmarkEnd w:id="9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7.3.1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ապահովի գրառումների համակարգի (տես` 8.4-ը) վարումը`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ընթացակարգերի արդյունավետ իրականացումը ցուցադրելու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գնահատման հնարավորություն ընձեռելու համար: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7.3.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հավաստագիրը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կարգով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իրականացրած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տեսուչի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0" w:name="_Toc343527825"/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հաշվետվություններ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հսկողության սերտիֆիկատներ</w:t>
            </w:r>
            <w:bookmarkEnd w:id="10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7.4.1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իրակ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հասանելի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 սերտիֆիկատի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/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ստորև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կետերը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տրամադրող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բացառիկ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տարբերանշանը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ամսաթիվը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ամսաթիվը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ժամկետը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 ենթարկված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բնութագրերը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լիազորված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հաստատման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հայտարարություն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որտեղ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բացառությամբ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մանրամասնված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7.4.3-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համաձայն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7.4.3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տրամադրի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հսկողության 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որում ներառված չեն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արդյունքները [տես` 7.4.2 է)] միայն այն դեպքում, երբ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կարող է պատրաստել նաև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արդյունքները պարունակող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հաշվետվություն և երբ թե</w:t>
            </w:r>
            <w:r w:rsidRPr="005E6DD5">
              <w:rPr>
                <w:rFonts w:ascii="Calibri" w:eastAsia="Calibri" w:hAnsi="Calibri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սերտիֆիկատը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և թե</w:t>
            </w:r>
            <w:r w:rsidRPr="005E6DD5">
              <w:rPr>
                <w:rFonts w:ascii="Calibri" w:eastAsia="Calibri" w:hAnsi="Calibri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հաշվետվությունը հղվում են միմյանց: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7.4.2-ում թվարկված ողջ տեղեկատվությունը պետք է ներկայացվի ճշգրիտ, ստույգ և հստակ: Եթե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հաշվետվությունը կամ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սերտիֆիկատը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պարունակում են արդյունքներ, որոնք տրամադրվել են ենթակապալառուների կողմից, ապա այդ արդյունքները պետք է հստակ բնորոշված լինեն: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Հրատարակումից հետո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հաշվետվության կամ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սերտիֆիկատի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ուղղումները կամ լրացումները պետք է գրանցվեն սույն ենթակետի (7.4) համապատասխան պահանջների համաձայն: Լրամշակված հաշվետվությունը կամ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սերտիֆիկատը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պետք է բնորոշի փոխարինված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հաշվետվությունը կամ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lastRenderedPageBreak/>
              <w:t>7.5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Գանգատներ և բողոքարկումներ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7.5.1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ստանալու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գնահատելու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կայացնելու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քննարկման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մատչելի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շահագրգիռ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ըստ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Գանգատը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ստանալով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հաստատի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պատասխանատու լինի գանգատների և բողոքարկումների քննարկման գործընթացում բոլոր որոշումների համար` բոլոր մակարդակներում: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Calibri" w:eastAsia="Calibri" w:hAnsi="Calibri" w:cs="Times New Roman"/>
                <w:lang w:val="hy-AM"/>
              </w:rPr>
            </w:pPr>
            <w:r w:rsidRPr="005E6DD5">
              <w:rPr>
                <w:rFonts w:ascii="Calibri" w:eastAsia="Calibri" w:hAnsi="Calibri" w:cs="Times New Roman"/>
                <w:lang w:val="hy-AM"/>
              </w:rPr>
              <w:t>7.5.</w:t>
            </w:r>
            <w:r w:rsidRPr="005E6DD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չպետք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հանգեցնի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խտրական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7.6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1" w:name="_Toc343527827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գործընթաց</w:t>
            </w:r>
            <w:bookmarkEnd w:id="11"/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Calibri" w:eastAsia="Calibri" w:hAnsi="Calibri" w:cs="Times New Roman"/>
                <w:lang w:val="hy-AM"/>
              </w:rPr>
            </w:pPr>
            <w:r w:rsidRPr="005E6DD5">
              <w:rPr>
                <w:rFonts w:ascii="Calibri" w:eastAsia="Calibri" w:hAnsi="Calibri" w:cs="Times New Roman"/>
                <w:lang w:val="hy-AM"/>
              </w:rPr>
              <w:t>7.</w:t>
            </w:r>
            <w:r w:rsidRPr="005E6DD5">
              <w:rPr>
                <w:rFonts w:ascii="Calibri" w:eastAsia="Calibri" w:hAnsi="Calibri" w:cs="Times New Roman"/>
              </w:rPr>
              <w:t>6</w:t>
            </w:r>
            <w:r w:rsidRPr="005E6DD5">
              <w:rPr>
                <w:rFonts w:ascii="Calibri" w:eastAsia="Calibri" w:hAnsi="Calibri" w:cs="Times New Roman"/>
                <w:lang w:val="hy-AM"/>
              </w:rPr>
              <w:t>.</w:t>
            </w:r>
            <w:r w:rsidRPr="005E6DD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քննարկման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առնվազն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տարրերը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ստանալու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ճշտելու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ինչպես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կայեցնելու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գրանցելը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հսկելը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լուծման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Գանգատ կամ բողոքարկում ստացող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գանգատը կամ բողոքարկումը ճշտելու համար պետք է հավաքի և ստուգի ողջ անհրաժեշտ տեղեկատվությունը: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Հնարավորության դեպքում,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հաստատի գանգատի կամ բողոքարկման ստացումը և կատարված աշխատանքների մասին գանգատարկողին կամ բողոքարկողին պետք է տրամադրի ընթացիկ հաշվետվություններ և վերջնական եզրակացությունը: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Գանգատարկողին կամ բողոքարկողին փոխանցելու մասին որոշումը պետք է կայացնի կամ ստուգի կամ հաստատի այն անհատը(ները), ով ընդգրկված չի եղել խնդրո առարկա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նախնական գործունեության մեջ: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Հնարավորության 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գանգատարկողին կամ բողոքարկողին տրամադրի պաշտոնական ծանուցում` գանգատի կամ բողոքարկման քննության գործընթացի ավարտի մասին: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0" w:line="240" w:lineRule="auto"/>
              <w:ind w:left="79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</w:pPr>
            <w:bookmarkStart w:id="12" w:name="_Toc343527828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Կառավարման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համակարգին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>ր</w:t>
            </w:r>
            <w:bookmarkEnd w:id="12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13" w:name="_Toc343527829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Տարբերակնե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ր</w:t>
            </w:r>
            <w:bookmarkEnd w:id="13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</w:rPr>
              <w:t xml:space="preserve">Ընդհանուր 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>դրույթներ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ներդնի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այնպիսի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հետևողական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համաձայն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8.1.2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bCs/>
                <w:sz w:val="18"/>
                <w:szCs w:val="18"/>
                <w:lang w:val="hy-AM"/>
              </w:rPr>
              <w:t>Ա</w:t>
            </w:r>
          </w:p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բաղկացած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1838C9" w:rsidRPr="005E6DD5" w:rsidRDefault="001838C9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օրինակ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քաղաքականությունը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8.2-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), </w:t>
            </w:r>
          </w:p>
          <w:p w:rsidR="001838C9" w:rsidRPr="005E6DD5" w:rsidRDefault="001838C9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8.3-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1838C9" w:rsidRPr="005E6DD5" w:rsidRDefault="001838C9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գրառումների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8.4-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1838C9" w:rsidRPr="005E6DD5" w:rsidRDefault="001838C9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8.5-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1838C9" w:rsidRPr="005E6DD5" w:rsidRDefault="001838C9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8.6-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1838C9" w:rsidRPr="005E6DD5" w:rsidRDefault="001838C9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8.7-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1838C9" w:rsidRPr="005E6DD5" w:rsidRDefault="001838C9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8.8-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1838C9" w:rsidRPr="001838C9" w:rsidRDefault="001838C9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7.5-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7.6-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8.1.3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Բ</w:t>
            </w:r>
          </w:p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մարմինը, որը ստեղծել և պահպանում է կառավարման համակարգ` համաձայն ԻՍՕ 9001-ի պահանջների, և որը կարող է աջակցել և ցուցադրել սույն ստանդարտի պահանջների հետևողական կատարումը, բավարարում է կառավարման համակարգի վերաբերյալ ստորև բերված հոդվածների պահանջներին (տե՛ս 8.2 - 8.8-ը):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8.2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bookmarkStart w:id="14" w:name="_Toc343527830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)</w:t>
            </w:r>
            <w:bookmarkEnd w:id="14"/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8.2.1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թյունը պետք է մշակի, փաստաթղթավորի և պահպանի սույն ստանդարտի իրականացման համար անհրաժեշտ քաղաքականություն և նպատակներ և պետք է ապահովի,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որ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կազմակեպության բոլոր մակարդակները տեղեկյակ են և իրականացնում են քաղաքականությունը և նպատակները: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ստիճան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ղեկավարությունը պետք է ապացուցի իր աջակցությունը կառավարման համակարգի ներդրմանը և իրականացմանը, և իր գործողությունների արդյունավետությունը` սույն ստանդարտի պահանջների հետևողական իրականացման ապահովման համար</w:t>
            </w:r>
            <w:r w:rsidRPr="005E6DD5">
              <w:rPr>
                <w:rFonts w:ascii="GHEA Grapalat" w:eastAsia="Calibri" w:hAnsi="GHEA Grapalat" w:cs="Times New Roman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բարձրա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նշանակի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ներկայացուցիչ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անկախ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պարտականություններից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լիազորված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բարձրա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աշխատանքային վիճակի պահպանման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գրառումները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վկայակոչվեն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հղված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684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Հսկողության մեջ ներգրավված ողջ անձնակազմին պետք է մատչելի լինեն իրենց պարտականություններին վերաբերող կառավարման համակարգի փաստաթղթերի առանձին մասերը և առնչվող տեղեկությունները: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5" w:name="_Toc343527831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5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8.3.1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փաստաթղթերի հսկողության ընթացակարգեր (ներքին և արտաքին), որոնք առչնվում են սույն ստանդարտի պահանջների կատարմանը: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8.3.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որպեսզի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վավերացվի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նախքան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հրապարակումը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վերանայվեն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արդիականացվեն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ըստ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վերահաստատվեն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փոփոխությունների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ընթացիկ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վերանայման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առկա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վայրերում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շարունակում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հասկանալի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հեշտությամբ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նույնականացվում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lastRenderedPageBreak/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ծագում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ունեցող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հաշվառված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բաշխումը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միտումնավոր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հաշվառումը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lastRenderedPageBreak/>
              <w:t>8.4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6" w:name="_Toc343527832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Գրառումների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6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8.4.1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ընթացակարգեր` սույն ստանդարտի պահանջների կատարմանն առնչվող իր գրառումների հաշվառման, պահպանման, պաշտպանության, վերականգնման, պահպանման ժամկետի և տեղակայման համար անհրաժեշտ հսկողության եղանակները: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8.4.2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իր պայմանագրային և իրավական պարտականություններին համապատասխան ժամկետով գրառումների պահպանման ընթացակարգեր: Այս գրառումների մատչելիությունը պետք է համապատասխանի գաղտնիության պահպանման կանոններին: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ind w:right="-312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7" w:name="_Toc343527833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7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>Ընդհանուր դրույթներ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թյունը պետք է սահմանի ընթացակարգեր` պլանավորված պարբերականությամբ իր կառավարման համակարգի վերլուծության համար, որպեսզի երաշխավորի դրա շարունակական պիտանելիու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թյունը, համապատասխանությունը և արդյունավետությունը, այդ թվում` սույն ստանդարտի պահանջների կատարման վերաբերյալ սահմանված քաղաքականությունը և նպատակները: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Այդ վերլուծությունները պետք է կատարվեն առնվազն տարին մեկ անգամ: Այլ կերպ, մասնատված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(ընթացիկ) վերլուծությունները պետք է ամբողջությամբ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ավարտվեն 12-ամսյա ժամանակահատվածում: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Վերլուծությունների գրառումները պետք է պահպանվեն: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3123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8.5.2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մուտքային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տվյալները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մուտքային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`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հաճախորդների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շահագրգիռ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կարծիքը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վերլուծություններից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բխող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նվաճումը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փոփոխություններ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ազդել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rPr>
          <w:trHeight w:val="2052"/>
        </w:trPr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արդյունքները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բնույթի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ռեսուրսներ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8.6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8" w:name="_Toc343527834"/>
            <w:r w:rsidRPr="005E6DD5">
              <w:rPr>
                <w:rFonts w:ascii="GHEA Grapalat" w:eastAsia="Calibri" w:hAnsi="GHEA Grapalat" w:cs="Sylfaen"/>
                <w:b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աուդիտներ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</w:rPr>
              <w:t>)</w:t>
            </w:r>
            <w:bookmarkEnd w:id="18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հավաստ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Աուդիտի ծրագիրը պետք է պլանավորվի` հաշվի առնելով աուդիտի ենթակա գործընթացների և ոլորտների կարևորnւթյունը, ինչպես նաև նախկին աուդիտների արդյունքները: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պլանավորված և համակարգված ձևով իրականացնի բոլոր ընթացակարգերի պարբերական ներքին աուդիտներ, որպեսզի ստուգի կառավարման համակարգի իրականացումը և արդյունավետությունը: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Ներքին աուդիտներ պետք է անց կացնել առնվազն 12 ամիսը մեկ անգամ: Ներքին աուդիտների հաճախականությունը կարելի է սահմանել` կախված կառավարման համակարգի փաստացի արդյունավետությունից և դրա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ապացուցված կայունությունից: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որակավորված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ոլորտում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աուդիտորներն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իրենց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չեն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բնագավառի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բխող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պատշաճ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8.7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bookmarkStart w:id="19" w:name="_Toc343527835"/>
            <w:r w:rsidRPr="005E6DD5">
              <w:rPr>
                <w:rFonts w:ascii="GHEA Grapalat" w:eastAsia="Calibri" w:hAnsi="GHEA Grapalat" w:cs="Sylfaen"/>
                <w:b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</w:rPr>
              <w:t>)</w:t>
            </w:r>
            <w:bookmarkEnd w:id="19"/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միջոցներ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կրկնությունը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համապատասխանեն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ծառացած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խնդիրների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ազդեցությանը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84642A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պահանջներ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հետևյալի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կրկնությունը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բացառելուն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4110" w:type="dxa"/>
          </w:tcPr>
          <w:p w:rsidR="001838C9" w:rsidRPr="001838C9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bookmarkStart w:id="20" w:name="_Toc343527836"/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)</w:t>
            </w:r>
            <w:bookmarkEnd w:id="20"/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8.8.1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վերացելու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8.8.2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Ձեռնարկված 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անխարգելիչ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գործողությունները պետք է համապատասխանեն հնարավոր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խնդիրների ազդեցությանը: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1838C9" w:rsidRPr="005E6DD5" w:rsidTr="001838C9">
        <w:tc>
          <w:tcPr>
            <w:tcW w:w="1278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lastRenderedPageBreak/>
              <w:t>8.8.3</w:t>
            </w:r>
          </w:p>
        </w:tc>
        <w:tc>
          <w:tcPr>
            <w:tcW w:w="684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առաջացումը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անհրաժշետ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1838C9" w:rsidRPr="005E6DD5" w:rsidRDefault="001838C9" w:rsidP="002D03F8">
            <w:pPr>
              <w:spacing w:after="0" w:line="240" w:lineRule="auto"/>
              <w:rPr>
                <w:rFonts w:ascii="Sylfaen" w:eastAsia="Calibri" w:hAnsi="Sylfaen" w:cs="Sylfaen"/>
                <w:b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055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4110" w:type="dxa"/>
          </w:tcPr>
          <w:p w:rsidR="001838C9" w:rsidRPr="005E6DD5" w:rsidRDefault="001838C9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</w:tbl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395"/>
        <w:gridCol w:w="2693"/>
        <w:gridCol w:w="3118"/>
      </w:tblGrid>
      <w:tr w:rsidR="0084642A" w:rsidRPr="0084642A" w:rsidTr="0084642A">
        <w:trPr>
          <w:trHeight w:val="113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</w:pP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ru-RU"/>
              </w:rPr>
              <w:t>Լրացուցիչ պահանջներ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</w:pPr>
            <w:r w:rsidRPr="0084642A">
              <w:rPr>
                <w:rFonts w:ascii="GHEA Grapalat" w:eastAsia="Calibri" w:hAnsi="GHEA Grapalat" w:cs="Arial"/>
                <w:b/>
                <w:bCs/>
                <w:color w:val="000000"/>
                <w:sz w:val="20"/>
                <w:szCs w:val="20"/>
                <w:lang w:val="nl-BE"/>
              </w:rPr>
              <w:t>Փաստաթղթի նշագիրը և</w:t>
            </w:r>
            <w:r w:rsidRPr="0084642A">
              <w:rPr>
                <w:rFonts w:ascii="GHEA Grapalat" w:eastAsia="Calibri" w:hAnsi="GHEA Grapalat" w:cs="Arial"/>
                <w:b/>
                <w:bCs/>
                <w:color w:val="000000"/>
                <w:sz w:val="20"/>
                <w:szCs w:val="20"/>
                <w:lang w:val="ru-RU"/>
              </w:rPr>
              <w:t>/կամ</w:t>
            </w:r>
            <w:r w:rsidRPr="0084642A">
              <w:rPr>
                <w:rFonts w:ascii="GHEA Grapalat" w:eastAsia="Calibri" w:hAnsi="GHEA Grapalat" w:cs="Arial"/>
                <w:b/>
                <w:bCs/>
                <w:color w:val="000000"/>
                <w:sz w:val="20"/>
                <w:szCs w:val="20"/>
                <w:lang w:val="nl-BE"/>
              </w:rPr>
              <w:t xml:space="preserve"> անվանումը</w:t>
            </w:r>
            <w:bookmarkStart w:id="21" w:name="_GoBack"/>
            <w:bookmarkEnd w:id="2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A" w:rsidRPr="0084642A" w:rsidRDefault="0084642A" w:rsidP="0084642A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</w:pPr>
            <w:r w:rsidRPr="0084642A"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  <w:t>Որտեղ է վկայակոչված</w:t>
            </w:r>
          </w:p>
          <w:p w:rsidR="0084642A" w:rsidRPr="0084642A" w:rsidRDefault="0084642A" w:rsidP="0084642A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</w:pP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  <w:t>(</w:t>
            </w:r>
            <w:r w:rsidRPr="0084642A"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  <w:t>Փաստաթղթի անվանումը, կետը)</w:t>
            </w:r>
          </w:p>
          <w:p w:rsidR="0084642A" w:rsidRPr="0084642A" w:rsidRDefault="0084642A" w:rsidP="0084642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C6D9F1"/>
                <w:sz w:val="16"/>
                <w:szCs w:val="16"/>
                <w:lang w:val="ru-RU"/>
              </w:rPr>
            </w:pPr>
            <w:r w:rsidRPr="0084642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(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</w:rPr>
              <w:t>լրացվում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</w:rPr>
              <w:t>է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</w:rPr>
              <w:t>ՀԳՄ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  <w:t>-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</w:rPr>
              <w:t>ի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</w:rPr>
              <w:t>կողմից</w:t>
            </w: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2A" w:rsidRPr="0084642A" w:rsidRDefault="0084642A" w:rsidP="0084642A">
            <w:pPr>
              <w:spacing w:after="0"/>
              <w:ind w:right="-108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</w:pPr>
            <w:r w:rsidRPr="0084642A">
              <w:rPr>
                <w:rFonts w:ascii="GHEA Grapalat" w:eastAsia="Calibri" w:hAnsi="GHEA Grapalat" w:cs="Times New Roman"/>
                <w:b/>
                <w:sz w:val="20"/>
                <w:szCs w:val="20"/>
                <w:lang w:val="ru-RU"/>
              </w:rPr>
              <w:t>Գրառումներ, մեկնաբանություններ</w:t>
            </w:r>
          </w:p>
          <w:p w:rsidR="0084642A" w:rsidRPr="0084642A" w:rsidRDefault="0084642A" w:rsidP="0084642A">
            <w:pPr>
              <w:spacing w:after="0"/>
              <w:jc w:val="center"/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</w:pPr>
            <w:r w:rsidRPr="0084642A">
              <w:rPr>
                <w:rFonts w:ascii="GHEA Grapalat" w:eastAsia="Calibri" w:hAnsi="GHEA Grapalat" w:cs="Times New Roman"/>
                <w:b/>
                <w:sz w:val="16"/>
                <w:szCs w:val="16"/>
                <w:lang w:val="ru-RU"/>
              </w:rPr>
              <w:t>(լրացվում է հավատարմագրման փորձագետի (գնահատողի) կողմից)</w:t>
            </w:r>
          </w:p>
        </w:tc>
      </w:tr>
      <w:tr w:rsidR="0084642A" w:rsidRPr="0084642A" w:rsidTr="0084642A">
        <w:trPr>
          <w:trHeight w:val="10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A" w:rsidRPr="0084642A" w:rsidRDefault="0084642A" w:rsidP="0084642A">
            <w:pPr>
              <w:spacing w:after="0"/>
              <w:ind w:right="-108"/>
              <w:contextualSpacing/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nl-BE"/>
              </w:rPr>
            </w:pP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Հավատարմագրման</w:t>
            </w: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նշանի</w:t>
            </w: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nl-BE"/>
              </w:rPr>
              <w:t xml:space="preserve"> </w:t>
            </w: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կիրառումը</w:t>
            </w: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nl-BE"/>
              </w:rPr>
              <w:t>/</w:t>
            </w: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տեքստային</w:t>
            </w: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4642A">
              <w:rPr>
                <w:rFonts w:ascii="GHEA Grapalat" w:eastAsia="Calibri" w:hAnsi="GHEA Grapalat" w:cs="Arial"/>
                <w:b/>
                <w:bCs/>
                <w:sz w:val="20"/>
                <w:szCs w:val="20"/>
              </w:rPr>
              <w:t>վկայակոչումը</w:t>
            </w:r>
          </w:p>
          <w:p w:rsidR="0084642A" w:rsidRPr="0084642A" w:rsidRDefault="0084642A" w:rsidP="0084642A">
            <w:pPr>
              <w:spacing w:after="0"/>
              <w:contextualSpacing/>
              <w:rPr>
                <w:rFonts w:ascii="GHEA Grapalat" w:eastAsia="Calibri" w:hAnsi="GHEA Grapalat" w:cs="Arial"/>
                <w:bCs/>
                <w:sz w:val="18"/>
                <w:szCs w:val="18"/>
                <w:lang w:val="nl-BE"/>
              </w:rPr>
            </w:pP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nl-BE"/>
              </w:rPr>
              <w:t>(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ru-RU"/>
              </w:rPr>
              <w:t>կիրառելի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ru-RU"/>
              </w:rPr>
              <w:t>չէ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ru-RU"/>
              </w:rPr>
              <w:t>առաջին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ru-RU"/>
              </w:rPr>
              <w:t>անգամ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ru-RU"/>
              </w:rPr>
              <w:t>հավատարմագրման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nl-BE"/>
              </w:rPr>
              <w:t xml:space="preserve"> 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ru-RU"/>
              </w:rPr>
              <w:t>դեպքում</w:t>
            </w:r>
            <w:r w:rsidRPr="0084642A">
              <w:rPr>
                <w:rFonts w:ascii="GHEA Grapalat" w:eastAsia="Calibri" w:hAnsi="GHEA Grapalat" w:cs="Arial"/>
                <w:bCs/>
                <w:sz w:val="18"/>
                <w:szCs w:val="18"/>
                <w:lang w:val="nl-BE"/>
              </w:rPr>
              <w:t>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A" w:rsidRPr="0084642A" w:rsidRDefault="0084642A" w:rsidP="0084642A">
            <w:pPr>
              <w:spacing w:after="0"/>
              <w:contextualSpacing/>
              <w:rPr>
                <w:rFonts w:ascii="GHEA Grapalat" w:eastAsia="Calibri" w:hAnsi="GHEA Grapalat" w:cs="Arial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84642A">
              <w:rPr>
                <w:rFonts w:ascii="GHEA Grapalat" w:eastAsia="Calibri" w:hAnsi="GHEA Grapalat" w:cs="Arial"/>
                <w:bCs/>
                <w:color w:val="000000"/>
                <w:sz w:val="20"/>
                <w:szCs w:val="20"/>
                <w:lang w:val="nl-BE"/>
              </w:rPr>
              <w:t>K-03 Հավատարմագրման ազգային մարմնի պատկերանիշի և հավատարմագրման նշանի կիրառման կարգը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A" w:rsidRPr="0084642A" w:rsidRDefault="0084642A" w:rsidP="0084642A">
            <w:pPr>
              <w:spacing w:after="0"/>
              <w:contextualSpacing/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nl-BE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2A" w:rsidRPr="0084642A" w:rsidRDefault="0084642A" w:rsidP="0084642A">
            <w:pPr>
              <w:spacing w:after="0"/>
              <w:contextualSpacing/>
              <w:rPr>
                <w:rFonts w:ascii="GHEA Grapalat" w:eastAsia="Calibri" w:hAnsi="GHEA Grapalat" w:cs="Arial"/>
                <w:b/>
                <w:bCs/>
                <w:sz w:val="20"/>
                <w:szCs w:val="20"/>
                <w:lang w:val="nl-BE"/>
              </w:rPr>
            </w:pPr>
          </w:p>
        </w:tc>
      </w:tr>
    </w:tbl>
    <w:p w:rsidR="00E50DA7" w:rsidRPr="0084642A" w:rsidRDefault="00E50DA7">
      <w:pPr>
        <w:rPr>
          <w:lang w:val="nl-BE"/>
        </w:rPr>
      </w:pPr>
    </w:p>
    <w:p w:rsidR="0084642A" w:rsidRPr="0084642A" w:rsidRDefault="0084642A">
      <w:pPr>
        <w:rPr>
          <w:lang w:val="nl-BE"/>
        </w:rPr>
      </w:pPr>
    </w:p>
    <w:p w:rsidR="00C1366D" w:rsidRPr="0084642A" w:rsidRDefault="00C1366D">
      <w:pPr>
        <w:rPr>
          <w:lang w:val="nl-BE"/>
        </w:rPr>
      </w:pPr>
    </w:p>
    <w:p w:rsidR="00C1366D" w:rsidRPr="0084642A" w:rsidRDefault="00C1366D">
      <w:pPr>
        <w:rPr>
          <w:lang w:val="nl-BE"/>
        </w:rPr>
      </w:pPr>
    </w:p>
    <w:p w:rsidR="00C1366D" w:rsidRPr="0084642A" w:rsidRDefault="00C1366D">
      <w:pPr>
        <w:rPr>
          <w:lang w:val="nl-BE"/>
        </w:rPr>
      </w:pPr>
    </w:p>
    <w:sectPr w:rsidR="00C1366D" w:rsidRPr="0084642A" w:rsidSect="001838C9">
      <w:headerReference w:type="default" r:id="rId9"/>
      <w:footerReference w:type="default" r:id="rId10"/>
      <w:pgSz w:w="15840" w:h="12240" w:orient="landscape"/>
      <w:pgMar w:top="630" w:right="540" w:bottom="900" w:left="119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3A" w:rsidRDefault="00755F3A" w:rsidP="00116BF7">
      <w:pPr>
        <w:spacing w:after="0" w:line="240" w:lineRule="auto"/>
      </w:pPr>
      <w:r>
        <w:separator/>
      </w:r>
    </w:p>
  </w:endnote>
  <w:endnote w:type="continuationSeparator" w:id="0">
    <w:p w:rsidR="00755F3A" w:rsidRDefault="00755F3A" w:rsidP="0011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01" w:rsidRPr="00116BF7" w:rsidRDefault="008C4F01" w:rsidP="00116BF7">
    <w:pPr>
      <w:tabs>
        <w:tab w:val="center" w:pos="4680"/>
        <w:tab w:val="right" w:pos="9360"/>
      </w:tabs>
      <w:spacing w:line="240" w:lineRule="auto"/>
      <w:rPr>
        <w:rFonts w:ascii="GHEA Grapalat" w:eastAsia="Calibri" w:hAnsi="GHEA Grapalat" w:cs="Arial"/>
        <w:sz w:val="18"/>
        <w:szCs w:val="18"/>
        <w:lang w:val="nl-NL"/>
      </w:rPr>
    </w:pPr>
    <w:r>
      <w:rPr>
        <w:rFonts w:ascii="GHEA Grapalat" w:eastAsia="Calibri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22873F" wp14:editId="20AB3AD4">
              <wp:simplePos x="0" y="0"/>
              <wp:positionH relativeFrom="column">
                <wp:posOffset>-9182</wp:posOffset>
              </wp:positionH>
              <wp:positionV relativeFrom="paragraph">
                <wp:posOffset>229012</wp:posOffset>
              </wp:positionV>
              <wp:extent cx="9036908" cy="0"/>
              <wp:effectExtent l="0" t="19050" r="1206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6908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8.05pt" to="710.8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" strokeweight="3.75pt">
              <v:stroke linestyle="thinThick"/>
            </v:line>
          </w:pict>
        </mc:Fallback>
      </mc:AlternateContent>
    </w:r>
  </w:p>
  <w:p w:rsidR="008C4F01" w:rsidRPr="00116BF7" w:rsidRDefault="0005082B" w:rsidP="0005082B">
    <w:pPr>
      <w:tabs>
        <w:tab w:val="center" w:pos="4680"/>
      </w:tabs>
      <w:spacing w:line="240" w:lineRule="auto"/>
      <w:rPr>
        <w:rFonts w:ascii="Calibri" w:eastAsia="Calibri" w:hAnsi="Calibri"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2-րդ խմբագրություն          17.07.2015</w:t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 xml:space="preserve">                                                                                                                                           </w:t>
    </w:r>
    <w:r w:rsidR="008C4F01">
      <w:rPr>
        <w:rFonts w:ascii="Calibri" w:eastAsia="Calibri" w:hAnsi="Calibri" w:cs="Arial"/>
        <w:sz w:val="18"/>
        <w:szCs w:val="18"/>
        <w:lang w:val="nl-NL"/>
      </w:rPr>
      <w:t xml:space="preserve">                           </w:t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 xml:space="preserve">         </w:t>
    </w:r>
    <w:r w:rsidR="001838C9">
      <w:rPr>
        <w:rFonts w:ascii="Calibri" w:eastAsia="Calibri" w:hAnsi="Calibri" w:cs="Arial"/>
        <w:sz w:val="18"/>
        <w:szCs w:val="18"/>
        <w:lang w:val="ru-RU"/>
      </w:rPr>
      <w:t xml:space="preserve">                                                                                    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begin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instrText xml:space="preserve"> PAGE </w:instrTex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separate"/>
    </w:r>
    <w:r w:rsidR="0084642A">
      <w:rPr>
        <w:rFonts w:ascii="Calibri" w:eastAsia="Calibri" w:hAnsi="Calibri" w:cs="Arial"/>
        <w:noProof/>
        <w:sz w:val="18"/>
        <w:szCs w:val="18"/>
        <w:lang w:val="nl-NL"/>
      </w:rPr>
      <w:t>18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end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>/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begin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instrText xml:space="preserve"> NUMPAGES </w:instrTex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separate"/>
    </w:r>
    <w:r w:rsidR="0084642A">
      <w:rPr>
        <w:rFonts w:ascii="Calibri" w:eastAsia="Calibri" w:hAnsi="Calibri" w:cs="Arial"/>
        <w:noProof/>
        <w:sz w:val="18"/>
        <w:szCs w:val="18"/>
        <w:lang w:val="nl-NL"/>
      </w:rPr>
      <w:t>18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end"/>
    </w:r>
  </w:p>
  <w:p w:rsidR="008C4F01" w:rsidRDefault="008C4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3A" w:rsidRDefault="00755F3A" w:rsidP="00116BF7">
      <w:pPr>
        <w:spacing w:after="0" w:line="240" w:lineRule="auto"/>
      </w:pPr>
      <w:r>
        <w:separator/>
      </w:r>
    </w:p>
  </w:footnote>
  <w:footnote w:type="continuationSeparator" w:id="0">
    <w:p w:rsidR="00755F3A" w:rsidRDefault="00755F3A" w:rsidP="0011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01" w:rsidRPr="00972B54" w:rsidRDefault="008C4F01">
    <w:pPr>
      <w:pStyle w:val="Header"/>
      <w:rPr>
        <w:sz w:val="20"/>
        <w:szCs w:val="20"/>
      </w:rPr>
    </w:pPr>
    <w:r w:rsidRPr="00972B5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E718CF" wp14:editId="3DAFA43A">
              <wp:simplePos x="0" y="0"/>
              <wp:positionH relativeFrom="column">
                <wp:posOffset>-17420</wp:posOffset>
              </wp:positionH>
              <wp:positionV relativeFrom="paragraph">
                <wp:posOffset>201827</wp:posOffset>
              </wp:positionV>
              <wp:extent cx="8888627" cy="0"/>
              <wp:effectExtent l="0" t="19050" r="2730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88627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5.9pt" to="698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" strokeweight="3.75pt">
              <v:stroke linestyle="thinThick"/>
            </v:line>
          </w:pict>
        </mc:Fallback>
      </mc:AlternateContent>
    </w:r>
    <w:r w:rsidRPr="00972B54">
      <w:rPr>
        <w:rFonts w:ascii="GHEA Grapalat" w:hAnsi="GHEA Grapalat"/>
        <w:sz w:val="20"/>
        <w:szCs w:val="20"/>
        <w:lang w:val="en-GB"/>
      </w:rPr>
      <w:t>ARMNAB</w:t>
    </w:r>
    <w:r w:rsidRPr="00972B54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</w:t>
    </w:r>
    <w:r w:rsidR="0005082B">
      <w:rPr>
        <w:rFonts w:ascii="GHEA Grapalat" w:hAnsi="GHEA Grapalat"/>
        <w:sz w:val="20"/>
        <w:szCs w:val="20"/>
        <w:lang w:val="en-GB"/>
      </w:rPr>
      <w:t xml:space="preserve">                                                         </w:t>
    </w:r>
    <w:r w:rsidR="001838C9">
      <w:rPr>
        <w:rFonts w:ascii="GHEA Grapalat" w:hAnsi="GHEA Grapalat"/>
        <w:sz w:val="20"/>
        <w:szCs w:val="20"/>
        <w:lang w:val="ru-RU"/>
      </w:rPr>
      <w:t xml:space="preserve">                                                      </w:t>
    </w:r>
    <w:r w:rsidRPr="00972B54">
      <w:rPr>
        <w:rFonts w:ascii="GHEA Grapalat" w:hAnsi="GHEA Grapalat"/>
        <w:sz w:val="20"/>
        <w:szCs w:val="20"/>
        <w:lang w:val="en-GB"/>
      </w:rPr>
      <w:t xml:space="preserve">  </w:t>
    </w:r>
    <w:r w:rsidR="0005082B">
      <w:rPr>
        <w:rFonts w:ascii="GHEA Grapalat" w:hAnsi="GHEA Grapalat"/>
        <w:lang w:val="en-GB"/>
      </w:rPr>
      <w:t>հավելված  AIB-01-03</w:t>
    </w:r>
    <w:r w:rsidRPr="00972B54">
      <w:rPr>
        <w:rFonts w:ascii="GHEA Grapalat" w:hAnsi="GHEA Grapalat"/>
        <w:sz w:val="20"/>
        <w:szCs w:val="20"/>
        <w:lang w:val="en-GB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148"/>
    <w:multiLevelType w:val="hybridMultilevel"/>
    <w:tmpl w:val="4066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BDB"/>
    <w:multiLevelType w:val="hybridMultilevel"/>
    <w:tmpl w:val="1A0A796E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7105"/>
    <w:multiLevelType w:val="hybridMultilevel"/>
    <w:tmpl w:val="90C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38A"/>
    <w:multiLevelType w:val="hybridMultilevel"/>
    <w:tmpl w:val="5DE810F0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AF7E8">
      <w:start w:val="7"/>
      <w:numFmt w:val="bullet"/>
      <w:lvlText w:val="-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43AE"/>
    <w:multiLevelType w:val="hybridMultilevel"/>
    <w:tmpl w:val="401037B4"/>
    <w:lvl w:ilvl="0" w:tplc="E38025C4">
      <w:start w:val="7"/>
      <w:numFmt w:val="bullet"/>
      <w:lvlText w:val="-"/>
      <w:lvlJc w:val="left"/>
      <w:pPr>
        <w:ind w:left="1440" w:hanging="360"/>
      </w:pPr>
      <w:rPr>
        <w:rFonts w:ascii="Arial Armenian" w:eastAsia="Times New Roman" w:hAnsi="Arial Armeni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45F59"/>
    <w:multiLevelType w:val="hybridMultilevel"/>
    <w:tmpl w:val="67E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7E3E"/>
    <w:multiLevelType w:val="hybridMultilevel"/>
    <w:tmpl w:val="4432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9FB"/>
    <w:multiLevelType w:val="hybridMultilevel"/>
    <w:tmpl w:val="8ED4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0974"/>
    <w:multiLevelType w:val="multilevel"/>
    <w:tmpl w:val="AE740C4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F9B70A3"/>
    <w:multiLevelType w:val="hybridMultilevel"/>
    <w:tmpl w:val="90C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633CE"/>
    <w:multiLevelType w:val="hybridMultilevel"/>
    <w:tmpl w:val="435EF14E"/>
    <w:lvl w:ilvl="0" w:tplc="E38025C4">
      <w:start w:val="7"/>
      <w:numFmt w:val="bullet"/>
      <w:lvlText w:val="-"/>
      <w:lvlJc w:val="left"/>
      <w:pPr>
        <w:ind w:left="720" w:hanging="360"/>
      </w:pPr>
      <w:rPr>
        <w:rFonts w:ascii="Arial Armenian" w:eastAsia="Times New Roman" w:hAnsi="Arial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30B33"/>
    <w:multiLevelType w:val="hybridMultilevel"/>
    <w:tmpl w:val="60C0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45A69"/>
    <w:multiLevelType w:val="hybridMultilevel"/>
    <w:tmpl w:val="7B9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61C7C"/>
    <w:multiLevelType w:val="hybridMultilevel"/>
    <w:tmpl w:val="CDC22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43640"/>
    <w:multiLevelType w:val="hybridMultilevel"/>
    <w:tmpl w:val="01CC5CFC"/>
    <w:lvl w:ilvl="0" w:tplc="9BEAF7E8">
      <w:start w:val="7"/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3021AA"/>
    <w:multiLevelType w:val="hybridMultilevel"/>
    <w:tmpl w:val="6F26729A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D5"/>
    <w:rsid w:val="00006A79"/>
    <w:rsid w:val="0004349E"/>
    <w:rsid w:val="0005082B"/>
    <w:rsid w:val="000A37F6"/>
    <w:rsid w:val="00116BF7"/>
    <w:rsid w:val="001838C9"/>
    <w:rsid w:val="001C5EE3"/>
    <w:rsid w:val="001F523E"/>
    <w:rsid w:val="002D03F8"/>
    <w:rsid w:val="002D6672"/>
    <w:rsid w:val="00307555"/>
    <w:rsid w:val="003F644D"/>
    <w:rsid w:val="00512E10"/>
    <w:rsid w:val="00552D3D"/>
    <w:rsid w:val="005B5304"/>
    <w:rsid w:val="005E6DD5"/>
    <w:rsid w:val="006B694B"/>
    <w:rsid w:val="00755F3A"/>
    <w:rsid w:val="0084642A"/>
    <w:rsid w:val="008C4F01"/>
    <w:rsid w:val="00941ECD"/>
    <w:rsid w:val="00972B54"/>
    <w:rsid w:val="009776DE"/>
    <w:rsid w:val="009D569A"/>
    <w:rsid w:val="00BB7197"/>
    <w:rsid w:val="00C1366D"/>
    <w:rsid w:val="00C87464"/>
    <w:rsid w:val="00E50DA7"/>
    <w:rsid w:val="00E96C06"/>
    <w:rsid w:val="00F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DD5"/>
    <w:pPr>
      <w:keepNext/>
      <w:numPr>
        <w:numId w:val="8"/>
      </w:numPr>
      <w:spacing w:before="240" w:after="60" w:line="240" w:lineRule="auto"/>
      <w:outlineLvl w:val="0"/>
    </w:pPr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D5"/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E6DD5"/>
  </w:style>
  <w:style w:type="table" w:styleId="TableGrid">
    <w:name w:val="Table Grid"/>
    <w:basedOn w:val="TableNormal"/>
    <w:uiPriority w:val="59"/>
    <w:rsid w:val="005E6D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D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D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E6DD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Note">
    <w:name w:val="Note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paragraph" w:customStyle="1" w:styleId="Normal1">
    <w:name w:val="Normal1"/>
    <w:basedOn w:val="Normal"/>
    <w:link w:val="normalChar2"/>
    <w:rsid w:val="005E6DD5"/>
    <w:pPr>
      <w:spacing w:after="0" w:line="240" w:lineRule="auto"/>
      <w:ind w:firstLine="720"/>
    </w:pPr>
    <w:rPr>
      <w:rFonts w:ascii="SARM" w:eastAsia="Times New Roman" w:hAnsi="SARM" w:cs="Times New Roman"/>
      <w:noProof/>
      <w:sz w:val="24"/>
      <w:szCs w:val="20"/>
      <w:lang w:val="ru-RU" w:eastAsia="ru-RU"/>
    </w:rPr>
  </w:style>
  <w:style w:type="character" w:customStyle="1" w:styleId="normalChar2">
    <w:name w:val="normal Char2"/>
    <w:link w:val="Normal1"/>
    <w:rsid w:val="005E6DD5"/>
    <w:rPr>
      <w:rFonts w:ascii="SARM" w:eastAsia="Times New Roman" w:hAnsi="SARM" w:cs="Times New Roman"/>
      <w:noProof/>
      <w:sz w:val="24"/>
      <w:szCs w:val="20"/>
      <w:lang w:val="ru-RU" w:eastAsia="ru-RU"/>
    </w:rPr>
  </w:style>
  <w:style w:type="paragraph" w:customStyle="1" w:styleId="Definition">
    <w:name w:val="Definition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character" w:styleId="CommentReference">
    <w:name w:val="annotation reference"/>
    <w:semiHidden/>
    <w:unhideWhenUsed/>
    <w:rsid w:val="005E6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DD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E6D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DD5"/>
    <w:pPr>
      <w:keepNext/>
      <w:numPr>
        <w:numId w:val="8"/>
      </w:numPr>
      <w:spacing w:before="240" w:after="60" w:line="240" w:lineRule="auto"/>
      <w:outlineLvl w:val="0"/>
    </w:pPr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D5"/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E6DD5"/>
  </w:style>
  <w:style w:type="table" w:styleId="TableGrid">
    <w:name w:val="Table Grid"/>
    <w:basedOn w:val="TableNormal"/>
    <w:uiPriority w:val="59"/>
    <w:rsid w:val="005E6D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D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D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E6DD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Note">
    <w:name w:val="Note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paragraph" w:customStyle="1" w:styleId="Normal1">
    <w:name w:val="Normal1"/>
    <w:basedOn w:val="Normal"/>
    <w:link w:val="normalChar2"/>
    <w:rsid w:val="005E6DD5"/>
    <w:pPr>
      <w:spacing w:after="0" w:line="240" w:lineRule="auto"/>
      <w:ind w:firstLine="720"/>
    </w:pPr>
    <w:rPr>
      <w:rFonts w:ascii="SARM" w:eastAsia="Times New Roman" w:hAnsi="SARM" w:cs="Times New Roman"/>
      <w:noProof/>
      <w:sz w:val="24"/>
      <w:szCs w:val="20"/>
      <w:lang w:val="ru-RU" w:eastAsia="ru-RU"/>
    </w:rPr>
  </w:style>
  <w:style w:type="character" w:customStyle="1" w:styleId="normalChar2">
    <w:name w:val="normal Char2"/>
    <w:link w:val="Normal1"/>
    <w:rsid w:val="005E6DD5"/>
    <w:rPr>
      <w:rFonts w:ascii="SARM" w:eastAsia="Times New Roman" w:hAnsi="SARM" w:cs="Times New Roman"/>
      <w:noProof/>
      <w:sz w:val="24"/>
      <w:szCs w:val="20"/>
      <w:lang w:val="ru-RU" w:eastAsia="ru-RU"/>
    </w:rPr>
  </w:style>
  <w:style w:type="paragraph" w:customStyle="1" w:styleId="Definition">
    <w:name w:val="Definition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character" w:styleId="CommentReference">
    <w:name w:val="annotation reference"/>
    <w:semiHidden/>
    <w:unhideWhenUsed/>
    <w:rsid w:val="005E6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DD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E6D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46E0-37A7-40BD-A97B-BFDC548C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2017-03-21T08:33:00Z</cp:lastPrinted>
  <dcterms:created xsi:type="dcterms:W3CDTF">2013-10-04T11:55:00Z</dcterms:created>
  <dcterms:modified xsi:type="dcterms:W3CDTF">2018-06-19T08:10:00Z</dcterms:modified>
</cp:coreProperties>
</file>